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napToGrid w:val="0"/>
        <w:spacing w:before="0" w:beforeAutospacing="1" w:after="0" w:afterAutospacing="1" w:line="580" w:lineRule="exact"/>
        <w:ind w:left="0" w:right="0" w:firstLine="600"/>
        <w:jc w:val="center"/>
        <w:rPr>
          <w:rFonts w:hint="default" w:ascii="Times New Roman" w:hAnsi="Times New Roman" w:eastAsia="宋体" w:cs="Times New Roman"/>
          <w:b/>
          <w:kern w:val="0"/>
          <w:sz w:val="36"/>
          <w:szCs w:val="36"/>
        </w:rPr>
      </w:pPr>
    </w:p>
    <w:p>
      <w:pPr>
        <w:keepNext w:val="0"/>
        <w:keepLines w:val="0"/>
        <w:widowControl/>
        <w:suppressLineNumbers w:val="0"/>
        <w:adjustRightInd w:val="0"/>
        <w:snapToGrid w:val="0"/>
        <w:spacing w:before="0" w:beforeAutospacing="1" w:after="0" w:afterAutospacing="1" w:line="580" w:lineRule="exact"/>
        <w:ind w:left="0" w:right="0" w:firstLine="600"/>
        <w:jc w:val="center"/>
        <w:rPr>
          <w:rFonts w:hint="default" w:ascii="Times New Roman" w:hAnsi="Times New Roman" w:eastAsia="宋体" w:cs="Times New Roman"/>
          <w:b/>
          <w:kern w:val="0"/>
          <w:sz w:val="36"/>
          <w:szCs w:val="36"/>
        </w:rPr>
      </w:pPr>
    </w:p>
    <w:p>
      <w:pPr>
        <w:keepNext w:val="0"/>
        <w:keepLines w:val="0"/>
        <w:widowControl/>
        <w:suppressLineNumbers w:val="0"/>
        <w:adjustRightInd w:val="0"/>
        <w:snapToGrid w:val="0"/>
        <w:spacing w:before="0" w:beforeAutospacing="1" w:after="0" w:afterAutospacing="1" w:line="580" w:lineRule="exact"/>
        <w:ind w:left="0" w:right="0" w:firstLine="600"/>
        <w:jc w:val="center"/>
        <w:rPr>
          <w:rFonts w:hint="default" w:ascii="Times New Roman" w:hAnsi="Times New Roman" w:eastAsia="宋体" w:cs="Times New Roman"/>
          <w:b/>
          <w:kern w:val="0"/>
          <w:sz w:val="36"/>
          <w:szCs w:val="36"/>
        </w:rPr>
      </w:pPr>
    </w:p>
    <w:p>
      <w:pPr>
        <w:keepNext w:val="0"/>
        <w:keepLines w:val="0"/>
        <w:widowControl/>
        <w:suppressLineNumbers w:val="0"/>
        <w:adjustRightInd w:val="0"/>
        <w:snapToGrid w:val="0"/>
        <w:spacing w:before="0" w:beforeAutospacing="1" w:after="0" w:afterAutospacing="1" w:line="580" w:lineRule="exact"/>
        <w:ind w:left="0" w:right="0" w:firstLine="600"/>
        <w:jc w:val="center"/>
        <w:rPr>
          <w:rFonts w:hint="default" w:ascii="Times New Roman" w:hAnsi="Times New Roman" w:eastAsia="宋体" w:cs="Times New Roman"/>
          <w:b/>
          <w:kern w:val="0"/>
          <w:sz w:val="36"/>
          <w:szCs w:val="36"/>
        </w:rPr>
      </w:pPr>
    </w:p>
    <w:p>
      <w:pPr>
        <w:keepNext w:val="0"/>
        <w:keepLines w:val="0"/>
        <w:widowControl/>
        <w:suppressLineNumbers w:val="0"/>
        <w:adjustRightInd w:val="0"/>
        <w:snapToGrid w:val="0"/>
        <w:spacing w:before="0" w:beforeAutospacing="1" w:after="0" w:afterAutospacing="1" w:line="580" w:lineRule="exact"/>
        <w:ind w:left="0" w:right="0" w:firstLine="600"/>
        <w:jc w:val="center"/>
        <w:rPr>
          <w:rFonts w:hint="default" w:ascii="Times New Roman" w:hAnsi="Times New Roman" w:eastAsia="宋体" w:cs="Times New Roman"/>
          <w:b/>
          <w:kern w:val="0"/>
          <w:sz w:val="36"/>
          <w:szCs w:val="36"/>
        </w:rPr>
      </w:pPr>
    </w:p>
    <w:p>
      <w:pPr>
        <w:keepNext w:val="0"/>
        <w:keepLines w:val="0"/>
        <w:widowControl/>
        <w:suppressLineNumbers w:val="0"/>
        <w:adjustRightInd w:val="0"/>
        <w:snapToGrid w:val="0"/>
        <w:spacing w:before="0" w:beforeAutospacing="1" w:after="0" w:afterAutospacing="1" w:line="580" w:lineRule="exact"/>
        <w:ind w:left="0" w:right="0" w:firstLine="600"/>
        <w:jc w:val="center"/>
        <w:rPr>
          <w:rFonts w:hint="default" w:ascii="Times New Roman" w:hAnsi="Times New Roman" w:eastAsia="宋体" w:cs="Times New Roman"/>
          <w:b/>
          <w:kern w:val="0"/>
          <w:sz w:val="36"/>
          <w:szCs w:val="36"/>
        </w:rPr>
      </w:pPr>
    </w:p>
    <w:p>
      <w:pPr>
        <w:keepNext w:val="0"/>
        <w:keepLines w:val="0"/>
        <w:widowControl/>
        <w:suppressLineNumbers w:val="0"/>
        <w:adjustRightInd w:val="0"/>
        <w:snapToGrid w:val="0"/>
        <w:spacing w:before="0" w:beforeAutospacing="1" w:after="0" w:afterAutospacing="1" w:line="580" w:lineRule="exact"/>
        <w:ind w:left="0" w:right="0" w:firstLine="600"/>
        <w:jc w:val="center"/>
        <w:rPr>
          <w:rFonts w:hint="default" w:ascii="Times New Roman" w:hAnsi="Times New Roman" w:eastAsia="宋体" w:cs="Times New Roman"/>
          <w:b/>
          <w:kern w:val="0"/>
          <w:sz w:val="36"/>
          <w:szCs w:val="36"/>
        </w:rPr>
      </w:pPr>
    </w:p>
    <w:p>
      <w:pPr>
        <w:keepNext w:val="0"/>
        <w:keepLines w:val="0"/>
        <w:widowControl/>
        <w:suppressLineNumbers w:val="0"/>
        <w:adjustRightInd w:val="0"/>
        <w:snapToGrid w:val="0"/>
        <w:spacing w:before="0" w:beforeAutospacing="1" w:after="0" w:afterAutospacing="1" w:line="580" w:lineRule="exact"/>
        <w:ind w:left="0" w:right="0" w:firstLine="600"/>
        <w:jc w:val="center"/>
        <w:rPr>
          <w:rFonts w:hint="default" w:ascii="Times New Roman" w:hAnsi="Times New Roman" w:eastAsia="宋体" w:cs="Times New Roman"/>
          <w:b/>
          <w:kern w:val="0"/>
          <w:sz w:val="36"/>
          <w:szCs w:val="36"/>
        </w:rPr>
      </w:pPr>
    </w:p>
    <w:p>
      <w:pPr>
        <w:keepNext w:val="0"/>
        <w:keepLines w:val="0"/>
        <w:widowControl/>
        <w:suppressLineNumbers w:val="0"/>
        <w:adjustRightInd w:val="0"/>
        <w:snapToGrid w:val="0"/>
        <w:spacing w:before="0" w:beforeAutospacing="1" w:after="0" w:afterAutospacing="1" w:line="580" w:lineRule="exact"/>
        <w:ind w:left="0" w:right="0" w:firstLine="600"/>
        <w:jc w:val="center"/>
        <w:rPr>
          <w:rFonts w:hint="default" w:ascii="Times New Roman" w:hAnsi="Times New Roman" w:eastAsia="宋体" w:cs="Times New Roman"/>
          <w:b/>
          <w:kern w:val="0"/>
          <w:sz w:val="36"/>
          <w:szCs w:val="36"/>
        </w:rPr>
      </w:pPr>
    </w:p>
    <w:p>
      <w:pPr>
        <w:keepNext w:val="0"/>
        <w:keepLines w:val="0"/>
        <w:widowControl/>
        <w:suppressLineNumbers w:val="0"/>
        <w:adjustRightInd w:val="0"/>
        <w:snapToGrid w:val="0"/>
        <w:spacing w:before="0" w:beforeAutospacing="1" w:after="0" w:afterAutospacing="1"/>
        <w:ind w:left="0" w:right="0" w:firstLine="601"/>
        <w:jc w:val="center"/>
        <w:rPr>
          <w:rFonts w:hint="eastAsia" w:ascii="宋体" w:hAnsi="宋体" w:eastAsia="宋体" w:cs="宋体"/>
          <w:kern w:val="0"/>
          <w:sz w:val="24"/>
          <w:szCs w:val="24"/>
        </w:rPr>
      </w:pPr>
      <w:r>
        <w:rPr>
          <w:rFonts w:hint="default" w:ascii="仿宋_GB2312" w:hAnsi="Times New Roman" w:eastAsia="仿宋_GB2312" w:cs="仿宋_GB2312"/>
          <w:b/>
          <w:kern w:val="0"/>
          <w:sz w:val="44"/>
          <w:szCs w:val="44"/>
          <w:lang w:val="en-US" w:eastAsia="zh-CN" w:bidi="ar"/>
        </w:rPr>
        <w:t>青山区人民检察院</w:t>
      </w:r>
    </w:p>
    <w:p>
      <w:pPr>
        <w:keepNext w:val="0"/>
        <w:keepLines w:val="0"/>
        <w:widowControl/>
        <w:suppressLineNumbers w:val="0"/>
        <w:adjustRightInd w:val="0"/>
        <w:snapToGrid w:val="0"/>
        <w:spacing w:before="0" w:beforeAutospacing="1" w:after="0" w:afterAutospacing="1"/>
        <w:ind w:left="0" w:right="0" w:firstLine="601"/>
        <w:jc w:val="center"/>
        <w:rPr>
          <w:rFonts w:hint="default" w:ascii="Times New Roman" w:hAnsi="Times New Roman" w:eastAsia="仿宋_GB2312" w:cs="Times New Roman"/>
          <w:b/>
          <w:kern w:val="0"/>
          <w:sz w:val="44"/>
          <w:szCs w:val="44"/>
        </w:rPr>
      </w:pPr>
      <w:r>
        <w:rPr>
          <w:rFonts w:hint="default" w:ascii="仿宋_GB2312" w:hAnsi="Times New Roman" w:eastAsia="仿宋_GB2312" w:cs="仿宋_GB2312"/>
          <w:b/>
          <w:kern w:val="0"/>
          <w:sz w:val="44"/>
          <w:szCs w:val="44"/>
          <w:lang w:val="en-US" w:eastAsia="zh-CN" w:bidi="ar"/>
        </w:rPr>
        <w:t>2019年度决算公开报告</w:t>
      </w:r>
    </w:p>
    <w:p>
      <w:pPr>
        <w:keepNext w:val="0"/>
        <w:keepLines w:val="0"/>
        <w:widowControl/>
        <w:suppressLineNumbers w:val="0"/>
        <w:adjustRightInd w:val="0"/>
        <w:snapToGrid w:val="0"/>
        <w:spacing w:before="0" w:beforeAutospacing="1" w:after="0" w:afterAutospacing="1" w:line="580" w:lineRule="exact"/>
        <w:ind w:left="0" w:right="0" w:firstLine="600"/>
        <w:jc w:val="center"/>
        <w:rPr>
          <w:rFonts w:hint="default" w:ascii="Times New Roman" w:hAnsi="Times New Roman" w:eastAsia="仿宋_GB2312" w:cs="Times New Roman"/>
          <w:b/>
          <w:kern w:val="0"/>
          <w:sz w:val="36"/>
          <w:szCs w:val="36"/>
        </w:rPr>
      </w:pPr>
    </w:p>
    <w:p>
      <w:pPr>
        <w:keepNext w:val="0"/>
        <w:keepLines w:val="0"/>
        <w:widowControl/>
        <w:suppressLineNumbers w:val="0"/>
        <w:adjustRightInd w:val="0"/>
        <w:snapToGrid w:val="0"/>
        <w:spacing w:before="0" w:beforeAutospacing="1" w:after="0" w:afterAutospacing="1" w:line="580" w:lineRule="exact"/>
        <w:ind w:left="0" w:right="0" w:firstLine="600"/>
        <w:jc w:val="center"/>
        <w:rPr>
          <w:rFonts w:hint="default" w:ascii="Times New Roman" w:hAnsi="Times New Roman" w:eastAsia="仿宋_GB2312" w:cs="Times New Roman"/>
          <w:b/>
          <w:kern w:val="0"/>
          <w:sz w:val="36"/>
          <w:szCs w:val="36"/>
        </w:rPr>
      </w:pPr>
    </w:p>
    <w:p>
      <w:pPr>
        <w:keepNext w:val="0"/>
        <w:keepLines w:val="0"/>
        <w:widowControl/>
        <w:suppressLineNumbers w:val="0"/>
        <w:adjustRightInd w:val="0"/>
        <w:snapToGrid w:val="0"/>
        <w:spacing w:before="0" w:beforeAutospacing="1" w:after="0" w:afterAutospacing="1" w:line="580" w:lineRule="exact"/>
        <w:ind w:left="0" w:right="0" w:firstLine="600"/>
        <w:jc w:val="center"/>
        <w:rPr>
          <w:rFonts w:hint="default" w:ascii="Times New Roman" w:hAnsi="Times New Roman" w:eastAsia="仿宋_GB2312" w:cs="Times New Roman"/>
          <w:b/>
          <w:kern w:val="0"/>
          <w:sz w:val="36"/>
          <w:szCs w:val="36"/>
        </w:rPr>
      </w:pPr>
    </w:p>
    <w:p>
      <w:pPr>
        <w:keepNext w:val="0"/>
        <w:keepLines w:val="0"/>
        <w:widowControl/>
        <w:suppressLineNumbers w:val="0"/>
        <w:adjustRightInd w:val="0"/>
        <w:snapToGrid w:val="0"/>
        <w:spacing w:before="0" w:beforeAutospacing="1" w:after="0" w:afterAutospacing="1" w:line="580" w:lineRule="exact"/>
        <w:ind w:left="0" w:right="0" w:firstLine="600"/>
        <w:jc w:val="center"/>
        <w:rPr>
          <w:rFonts w:hint="default" w:ascii="Times New Roman" w:hAnsi="Times New Roman" w:eastAsia="仿宋_GB2312" w:cs="Times New Roman"/>
          <w:b/>
          <w:kern w:val="0"/>
          <w:sz w:val="36"/>
          <w:szCs w:val="36"/>
        </w:rPr>
      </w:pPr>
    </w:p>
    <w:p>
      <w:pPr>
        <w:keepNext w:val="0"/>
        <w:keepLines w:val="0"/>
        <w:widowControl/>
        <w:suppressLineNumbers w:val="0"/>
        <w:adjustRightInd w:val="0"/>
        <w:snapToGrid w:val="0"/>
        <w:spacing w:before="0" w:beforeAutospacing="1" w:after="0" w:afterAutospacing="1" w:line="580" w:lineRule="exact"/>
        <w:ind w:left="0" w:right="0" w:firstLine="600"/>
        <w:jc w:val="center"/>
        <w:rPr>
          <w:rFonts w:hint="default" w:ascii="Times New Roman" w:hAnsi="Times New Roman" w:eastAsia="仿宋_GB2312" w:cs="Times New Roman"/>
          <w:b/>
          <w:kern w:val="0"/>
          <w:sz w:val="36"/>
          <w:szCs w:val="36"/>
        </w:rPr>
      </w:pPr>
    </w:p>
    <w:p>
      <w:pPr>
        <w:keepNext w:val="0"/>
        <w:keepLines w:val="0"/>
        <w:widowControl/>
        <w:suppressLineNumbers w:val="0"/>
        <w:adjustRightInd w:val="0"/>
        <w:snapToGrid w:val="0"/>
        <w:spacing w:before="0" w:beforeAutospacing="1" w:after="0" w:afterAutospacing="1"/>
        <w:ind w:left="0" w:right="0" w:firstLine="601"/>
        <w:jc w:val="center"/>
        <w:rPr>
          <w:rFonts w:hint="default" w:ascii="Times New Roman" w:hAnsi="Times New Roman" w:eastAsia="仿宋_GB2312" w:cs="Times New Roman"/>
          <w:b/>
          <w:kern w:val="0"/>
          <w:sz w:val="44"/>
          <w:szCs w:val="44"/>
        </w:rPr>
      </w:pPr>
      <w:r>
        <w:rPr>
          <w:rFonts w:hint="default" w:ascii="仿宋_GB2312" w:hAnsi="Times New Roman" w:eastAsia="仿宋_GB2312" w:cs="仿宋_GB2312"/>
          <w:b/>
          <w:kern w:val="0"/>
          <w:sz w:val="44"/>
          <w:szCs w:val="44"/>
          <w:lang w:val="en-US" w:eastAsia="zh-CN" w:bidi="ar"/>
        </w:rPr>
        <w:t>目录</w:t>
      </w:r>
    </w:p>
    <w:p>
      <w:pPr>
        <w:keepNext w:val="0"/>
        <w:keepLines w:val="0"/>
        <w:widowControl/>
        <w:suppressLineNumbers w:val="0"/>
        <w:adjustRightInd w:val="0"/>
        <w:snapToGrid w:val="0"/>
        <w:spacing w:before="0" w:beforeAutospacing="1" w:after="0" w:afterAutospacing="1"/>
        <w:ind w:left="0" w:right="0" w:firstLine="601"/>
        <w:jc w:val="left"/>
        <w:rPr>
          <w:rFonts w:hint="default" w:ascii="Times New Roman" w:hAnsi="Times New Roman" w:eastAsia="仿宋_GB2312" w:cs="Times New Roman"/>
          <w:b/>
          <w:kern w:val="0"/>
          <w:sz w:val="44"/>
          <w:szCs w:val="44"/>
        </w:rPr>
      </w:pP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黑体" w:cs="Times New Roman"/>
          <w:b/>
          <w:kern w:val="0"/>
          <w:sz w:val="32"/>
          <w:szCs w:val="32"/>
        </w:rPr>
      </w:pPr>
      <w:r>
        <w:rPr>
          <w:rFonts w:hint="eastAsia" w:ascii="黑体" w:hAnsi="宋体" w:eastAsia="黑体" w:cs="黑体"/>
          <w:b/>
          <w:kern w:val="0"/>
          <w:sz w:val="32"/>
          <w:szCs w:val="32"/>
          <w:lang w:val="en-US" w:eastAsia="zh-CN" w:bidi="ar"/>
        </w:rPr>
        <w:t>第一部分</w:t>
      </w:r>
      <w:r>
        <w:rPr>
          <w:rFonts w:hint="eastAsia" w:ascii="黑体" w:hAnsi="Times New Roman" w:eastAsia="黑体" w:cs="黑体"/>
          <w:b/>
          <w:kern w:val="0"/>
          <w:sz w:val="32"/>
          <w:szCs w:val="32"/>
          <w:lang w:val="en-US" w:eastAsia="zh-CN" w:bidi="ar"/>
        </w:rPr>
        <w:t xml:space="preserve"> </w:t>
      </w:r>
      <w:r>
        <w:rPr>
          <w:rFonts w:hint="eastAsia" w:ascii="黑体" w:hAnsi="宋体" w:eastAsia="黑体" w:cs="黑体"/>
          <w:b/>
          <w:kern w:val="0"/>
          <w:sz w:val="32"/>
          <w:szCs w:val="32"/>
          <w:lang w:val="en-US" w:eastAsia="zh-CN" w:bidi="ar"/>
        </w:rPr>
        <w:t>部门基本情况</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一、部门职责</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二、机构设置</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黑体" w:cs="Times New Roman"/>
          <w:b/>
          <w:kern w:val="0"/>
          <w:sz w:val="32"/>
          <w:szCs w:val="32"/>
        </w:rPr>
      </w:pPr>
      <w:r>
        <w:rPr>
          <w:rFonts w:hint="eastAsia" w:ascii="黑体" w:hAnsi="宋体" w:eastAsia="黑体" w:cs="黑体"/>
          <w:b/>
          <w:kern w:val="0"/>
          <w:sz w:val="32"/>
          <w:szCs w:val="32"/>
          <w:lang w:val="en-US" w:eastAsia="zh-CN" w:bidi="ar"/>
        </w:rPr>
        <w:t>第二部分</w:t>
      </w:r>
      <w:r>
        <w:rPr>
          <w:rFonts w:hint="eastAsia" w:ascii="黑体" w:hAnsi="Times New Roman" w:eastAsia="黑体" w:cs="黑体"/>
          <w:b/>
          <w:kern w:val="0"/>
          <w:sz w:val="32"/>
          <w:szCs w:val="32"/>
          <w:lang w:val="en-US" w:eastAsia="zh-CN" w:bidi="ar"/>
        </w:rPr>
        <w:t xml:space="preserve"> 2019</w:t>
      </w:r>
      <w:r>
        <w:rPr>
          <w:rFonts w:hint="eastAsia" w:ascii="黑体" w:hAnsi="宋体" w:eastAsia="黑体" w:cs="黑体"/>
          <w:b/>
          <w:kern w:val="0"/>
          <w:sz w:val="32"/>
          <w:szCs w:val="32"/>
          <w:lang w:val="en-US" w:eastAsia="zh-CN" w:bidi="ar"/>
        </w:rPr>
        <w:t>年度部门决算情况说明</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一、关于2019年度预算执行情况分析</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二、关于2019年度决算情况说明</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（一）关于收支情况总体说明</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（二）关于2019年度收入决算情况说明</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（三）关于2019年度支出决算情况说明</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（四）关于2019年度财政拨款收入支出决算总体情况说明</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（五）关于2019年度一般公共预算财政拨款支出决算情况说明</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（六）关于2019年度一般公共预算财政拨款基本支出决算情况说明</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（七）关于2019年度财政拨款</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三公</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经费支出决算情况说明</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1、财政拨款</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三公</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经费支出决算总体情况说明</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2、财政拨款</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三公</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经费支出决算具体情况说明</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三、预算绩效情况说明</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（一）预算绩效管理工作开展情况</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（二）部门决算中项目绩效自评结果</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四、其他重要事项的情况说明</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（一）机关运行经费支出情况</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（二）政府采购支出情况</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（三）国有资产占用情况</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黑体" w:cs="Times New Roman"/>
          <w:b/>
          <w:kern w:val="0"/>
          <w:sz w:val="32"/>
          <w:szCs w:val="32"/>
        </w:rPr>
      </w:pPr>
      <w:r>
        <w:rPr>
          <w:rFonts w:hint="eastAsia" w:ascii="黑体" w:hAnsi="宋体" w:eastAsia="黑体" w:cs="黑体"/>
          <w:b/>
          <w:kern w:val="0"/>
          <w:sz w:val="32"/>
          <w:szCs w:val="32"/>
          <w:lang w:val="en-US" w:eastAsia="zh-CN" w:bidi="ar"/>
        </w:rPr>
        <w:t>第三部分</w:t>
      </w:r>
      <w:r>
        <w:rPr>
          <w:rFonts w:hint="eastAsia" w:ascii="黑体" w:hAnsi="Times New Roman" w:eastAsia="黑体" w:cs="黑体"/>
          <w:b/>
          <w:kern w:val="0"/>
          <w:sz w:val="32"/>
          <w:szCs w:val="32"/>
          <w:lang w:val="en-US" w:eastAsia="zh-CN" w:bidi="ar"/>
        </w:rPr>
        <w:t xml:space="preserve"> </w:t>
      </w:r>
      <w:r>
        <w:rPr>
          <w:rFonts w:hint="eastAsia" w:ascii="黑体" w:hAnsi="宋体" w:eastAsia="黑体" w:cs="黑体"/>
          <w:b/>
          <w:kern w:val="0"/>
          <w:sz w:val="32"/>
          <w:szCs w:val="32"/>
          <w:lang w:val="en-US" w:eastAsia="zh-CN" w:bidi="ar"/>
        </w:rPr>
        <w:t>名词解释</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黑体" w:cs="Times New Roman"/>
          <w:b/>
          <w:kern w:val="0"/>
          <w:sz w:val="32"/>
          <w:szCs w:val="32"/>
        </w:rPr>
      </w:pPr>
      <w:r>
        <w:rPr>
          <w:rFonts w:hint="eastAsia" w:ascii="黑体" w:hAnsi="宋体" w:eastAsia="黑体" w:cs="黑体"/>
          <w:b/>
          <w:kern w:val="0"/>
          <w:sz w:val="32"/>
          <w:szCs w:val="32"/>
          <w:lang w:val="en-US" w:eastAsia="zh-CN" w:bidi="ar"/>
        </w:rPr>
        <w:t>第四部分</w:t>
      </w:r>
      <w:r>
        <w:rPr>
          <w:rFonts w:hint="eastAsia" w:ascii="黑体" w:hAnsi="Times New Roman" w:eastAsia="黑体" w:cs="黑体"/>
          <w:b/>
          <w:kern w:val="0"/>
          <w:sz w:val="32"/>
          <w:szCs w:val="32"/>
          <w:lang w:val="en-US" w:eastAsia="zh-CN" w:bidi="ar"/>
        </w:rPr>
        <w:t xml:space="preserve"> </w:t>
      </w:r>
      <w:r>
        <w:rPr>
          <w:rFonts w:hint="eastAsia" w:ascii="黑体" w:hAnsi="宋体" w:eastAsia="黑体" w:cs="黑体"/>
          <w:b/>
          <w:kern w:val="0"/>
          <w:sz w:val="32"/>
          <w:szCs w:val="32"/>
          <w:lang w:val="en-US" w:eastAsia="zh-CN" w:bidi="ar"/>
        </w:rPr>
        <w:t>决算公开联系方式及信息反馈渠道</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黑体" w:cs="Times New Roman"/>
          <w:b/>
          <w:kern w:val="0"/>
          <w:sz w:val="32"/>
          <w:szCs w:val="32"/>
        </w:rPr>
      </w:pPr>
      <w:r>
        <w:rPr>
          <w:rFonts w:hint="eastAsia" w:ascii="黑体" w:hAnsi="宋体" w:eastAsia="黑体" w:cs="黑体"/>
          <w:b/>
          <w:kern w:val="0"/>
          <w:sz w:val="32"/>
          <w:szCs w:val="32"/>
          <w:lang w:val="en-US" w:eastAsia="zh-CN" w:bidi="ar"/>
        </w:rPr>
        <w:t>第五部分</w:t>
      </w:r>
      <w:r>
        <w:rPr>
          <w:rFonts w:hint="eastAsia" w:ascii="黑体" w:hAnsi="Times New Roman" w:eastAsia="黑体" w:cs="黑体"/>
          <w:b/>
          <w:kern w:val="0"/>
          <w:sz w:val="32"/>
          <w:szCs w:val="32"/>
          <w:lang w:val="en-US" w:eastAsia="zh-CN" w:bidi="ar"/>
        </w:rPr>
        <w:t xml:space="preserve"> </w:t>
      </w:r>
      <w:r>
        <w:rPr>
          <w:rFonts w:hint="eastAsia" w:ascii="黑体" w:hAnsi="宋体" w:eastAsia="黑体" w:cs="黑体"/>
          <w:b/>
          <w:kern w:val="0"/>
          <w:sz w:val="32"/>
          <w:szCs w:val="32"/>
          <w:lang w:val="en-US" w:eastAsia="zh-CN" w:bidi="ar"/>
        </w:rPr>
        <w:t>部门决算公开表</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一、收入支出决算总表</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二、收入决算表</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三、支出决算表</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四、财政拨款收入支出决算总表</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五、一般公共预算财政拨款支出决算表</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六、一般公共预算财政拨款基本支出决算明细表</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七、政府性基金预算财政拨款收入支出决算表</w:t>
      </w:r>
    </w:p>
    <w:p>
      <w:pPr>
        <w:keepNext w:val="0"/>
        <w:keepLines w:val="0"/>
        <w:widowControl/>
        <w:suppressLineNumbers w:val="0"/>
        <w:adjustRightInd w:val="0"/>
        <w:snapToGri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八、机构运行信息表</w:t>
      </w:r>
    </w:p>
    <w:p>
      <w:pPr>
        <w:keepNext w:val="0"/>
        <w:keepLines w:val="0"/>
        <w:widowControl/>
        <w:suppressLineNumbers w:val="0"/>
        <w:adjustRightInd w:val="0"/>
        <w:snapToGrid w:val="0"/>
        <w:spacing w:before="0" w:beforeAutospacing="1" w:after="0" w:afterAutospacing="1"/>
        <w:ind w:left="0" w:right="0" w:firstLine="601"/>
        <w:jc w:val="left"/>
        <w:rPr>
          <w:rFonts w:hint="default" w:ascii="Times New Roman" w:hAnsi="Times New Roman" w:eastAsia="仿宋_GB2312" w:cs="Times New Roman"/>
          <w:b/>
          <w:kern w:val="0"/>
          <w:sz w:val="44"/>
          <w:szCs w:val="44"/>
        </w:rPr>
      </w:pPr>
    </w:p>
    <w:p>
      <w:pPr>
        <w:keepNext w:val="0"/>
        <w:keepLines w:val="0"/>
        <w:widowControl/>
        <w:suppressLineNumbers w:val="0"/>
        <w:snapToGrid w:val="0"/>
        <w:spacing w:before="0" w:beforeAutospacing="0" w:after="0" w:afterAutospacing="0"/>
        <w:ind w:left="0" w:right="0"/>
        <w:jc w:val="left"/>
        <w:rPr>
          <w:rFonts w:hint="eastAsia" w:ascii="宋体" w:hAnsi="宋体" w:eastAsia="宋体" w:cs="宋体"/>
          <w:kern w:val="0"/>
          <w:sz w:val="24"/>
          <w:szCs w:val="24"/>
        </w:rPr>
      </w:pP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b/>
          <w:kern w:val="0"/>
          <w:sz w:val="32"/>
          <w:szCs w:val="32"/>
          <w:lang w:val="en-US" w:eastAsia="zh-CN" w:bidi="ar"/>
        </w:rPr>
        <w:t>第一部分 部门基本情况</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一、部门职责</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color w:val="FF0000"/>
          <w:kern w:val="0"/>
          <w:sz w:val="32"/>
          <w:szCs w:val="32"/>
        </w:rPr>
      </w:pPr>
      <w:r>
        <w:rPr>
          <w:rFonts w:hint="default" w:ascii="仿宋_GB2312" w:hAnsi="宋体" w:eastAsia="仿宋_GB2312" w:cs="仿宋_GB2312"/>
          <w:kern w:val="0"/>
          <w:sz w:val="32"/>
          <w:szCs w:val="32"/>
          <w:lang w:val="en-US" w:eastAsia="zh-CN" w:bidi="ar"/>
        </w:rPr>
        <w:t>包头市青山区人民检察院是国家的</w:t>
      </w:r>
      <w:r>
        <w:rPr>
          <w:rFonts w:hint="default" w:ascii="仿宋_GB2312" w:hAnsi="仿宋" w:eastAsia="仿宋_GB2312" w:cs="仿宋_GB2312"/>
          <w:kern w:val="0"/>
          <w:sz w:val="32"/>
          <w:szCs w:val="32"/>
          <w:lang w:val="en-US" w:eastAsia="zh-CN" w:bidi="ar"/>
        </w:rPr>
        <w:t>法律监督机关</w:t>
      </w:r>
      <w:r>
        <w:rPr>
          <w:rFonts w:hint="default" w:ascii="仿宋_GB2312" w:hAnsi="宋体" w:eastAsia="仿宋_GB2312" w:cs="仿宋_GB2312"/>
          <w:kern w:val="0"/>
          <w:sz w:val="32"/>
          <w:szCs w:val="32"/>
          <w:lang w:val="en-US" w:eastAsia="zh-CN" w:bidi="ar"/>
        </w:rPr>
        <w:t>，依法行使下列职权：</w:t>
      </w:r>
      <w:r>
        <w:rPr>
          <w:rFonts w:hint="eastAsia" w:ascii="宋体" w:hAnsi="宋体" w:eastAsia="仿宋_GB2312" w:cs="宋体"/>
          <w:kern w:val="0"/>
          <w:sz w:val="32"/>
          <w:szCs w:val="32"/>
          <w:lang w:val="en-US" w:eastAsia="zh-CN" w:bidi="ar"/>
        </w:rPr>
        <w:t>1</w:t>
      </w:r>
      <w:r>
        <w:rPr>
          <w:rFonts w:hint="default" w:ascii="仿宋_GB2312" w:hAnsi="宋体" w:eastAsia="仿宋_GB2312" w:cs="仿宋_GB2312"/>
          <w:kern w:val="0"/>
          <w:sz w:val="32"/>
          <w:szCs w:val="32"/>
          <w:lang w:val="en-US" w:eastAsia="zh-CN" w:bidi="ar"/>
        </w:rPr>
        <w:t>、对于危害国家安全案、侵犯公民人身权利民主权利案和其他重大犯罪案件，行使检察权；</w:t>
      </w:r>
      <w:r>
        <w:rPr>
          <w:rFonts w:hint="eastAsia" w:ascii="宋体" w:hAnsi="宋体" w:eastAsia="仿宋_GB2312" w:cs="宋体"/>
          <w:kern w:val="0"/>
          <w:sz w:val="32"/>
          <w:szCs w:val="32"/>
          <w:lang w:val="en-US" w:eastAsia="zh-CN" w:bidi="ar"/>
        </w:rPr>
        <w:t>2</w:t>
      </w:r>
      <w:r>
        <w:rPr>
          <w:rFonts w:hint="default" w:ascii="仿宋_GB2312" w:hAnsi="宋体" w:eastAsia="仿宋_GB2312" w:cs="仿宋_GB2312"/>
          <w:kern w:val="0"/>
          <w:sz w:val="32"/>
          <w:szCs w:val="32"/>
          <w:lang w:val="en-US" w:eastAsia="zh-CN" w:bidi="ar"/>
        </w:rPr>
        <w:t>、对于公安机关侦查的案件进行审查，决定是否逮捕、起诉或者不起诉；对于刑事案件提起公诉、支持公诉；</w:t>
      </w:r>
      <w:r>
        <w:rPr>
          <w:rFonts w:hint="eastAsia" w:ascii="宋体" w:hAnsi="宋体" w:eastAsia="仿宋_GB2312" w:cs="宋体"/>
          <w:kern w:val="0"/>
          <w:sz w:val="32"/>
          <w:szCs w:val="32"/>
          <w:lang w:val="en-US" w:eastAsia="zh-CN" w:bidi="ar"/>
        </w:rPr>
        <w:t>3</w:t>
      </w:r>
      <w:r>
        <w:rPr>
          <w:rFonts w:hint="default" w:ascii="仿宋_GB2312" w:hAnsi="宋体" w:eastAsia="仿宋_GB2312" w:cs="仿宋_GB2312"/>
          <w:kern w:val="0"/>
          <w:sz w:val="32"/>
          <w:szCs w:val="32"/>
          <w:lang w:val="en-US" w:eastAsia="zh-CN" w:bidi="ar"/>
        </w:rPr>
        <w:t>、对于公安机关、人民法院和监狱、看守所、劳动改造机关的活动是否合法，实行监督。</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二、机构设置</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color w:val="FF0000"/>
          <w:kern w:val="0"/>
          <w:sz w:val="32"/>
          <w:szCs w:val="32"/>
        </w:rPr>
      </w:pPr>
      <w:r>
        <w:rPr>
          <w:rFonts w:hint="default" w:ascii="仿宋_GB2312" w:hAnsi="宋体" w:eastAsia="仿宋_GB2312" w:cs="仿宋_GB2312"/>
          <w:kern w:val="0"/>
          <w:sz w:val="32"/>
          <w:szCs w:val="32"/>
          <w:lang w:val="en-US" w:eastAsia="zh-CN" w:bidi="ar"/>
        </w:rPr>
        <w:t>我院</w:t>
      </w:r>
      <w:r>
        <w:rPr>
          <w:rFonts w:hint="eastAsia" w:ascii="仿宋" w:hAnsi="仿宋" w:eastAsia="仿宋" w:cs="仿宋"/>
          <w:kern w:val="0"/>
          <w:sz w:val="32"/>
          <w:szCs w:val="32"/>
          <w:lang w:val="en-US" w:eastAsia="zh-CN" w:bidi="ar"/>
        </w:rPr>
        <w:t>内设办公室、政治部、第一检察部、第二检察部、第三检察部、第四检察部、第五检察部、综合业务部，下设司法警察大队。</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b/>
          <w:kern w:val="0"/>
          <w:sz w:val="32"/>
          <w:szCs w:val="32"/>
        </w:rPr>
      </w:pPr>
      <w:r>
        <w:rPr>
          <w:rFonts w:hint="default" w:ascii="仿宋_GB2312" w:hAnsi="Times New Roman" w:eastAsia="仿宋_GB2312" w:cs="仿宋_GB2312"/>
          <w:b/>
          <w:kern w:val="0"/>
          <w:sz w:val="32"/>
          <w:szCs w:val="32"/>
          <w:lang w:val="en-US" w:eastAsia="zh-CN" w:bidi="ar"/>
        </w:rPr>
        <w:t>第二部分 2019年度部门决算情况说明</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一、关于2019年度预算执行情况分析</w:t>
      </w:r>
    </w:p>
    <w:p>
      <w:pPr>
        <w:keepNext w:val="0"/>
        <w:keepLines w:val="0"/>
        <w:widowControl/>
        <w:suppressLineNumbers w:val="0"/>
        <w:snapToGrid w:val="0"/>
        <w:spacing w:before="0" w:beforeAutospacing="0" w:after="0" w:afterAutospacing="0" w:line="520" w:lineRule="exact"/>
        <w:ind w:left="0" w:right="0" w:firstLine="640"/>
        <w:jc w:val="left"/>
        <w:rPr>
          <w:rFonts w:hint="default" w:ascii="仿宋_GB2312" w:hAnsi="Times New Roman" w:eastAsia="仿宋_GB2312" w:cs="仿宋_GB2312"/>
          <w:color w:val="FF0000"/>
          <w:kern w:val="0"/>
          <w:sz w:val="32"/>
          <w:szCs w:val="32"/>
        </w:rPr>
      </w:pPr>
      <w:r>
        <w:rPr>
          <w:rFonts w:hint="default" w:ascii="仿宋_GB2312" w:hAnsi="Times New Roman" w:eastAsia="仿宋_GB2312" w:cs="仿宋_GB2312"/>
          <w:kern w:val="0"/>
          <w:sz w:val="32"/>
          <w:szCs w:val="32"/>
          <w:lang w:val="en-US" w:eastAsia="zh-CN" w:bidi="ar"/>
        </w:rPr>
        <w:t>我院2019年收入年初预算1625.03万元，决算数1787.97万元，其中财政拨款年初</w:t>
      </w:r>
      <w:r>
        <w:rPr>
          <w:rFonts w:hint="default" w:ascii="仿宋_GB2312" w:hAnsi="仿宋" w:eastAsia="仿宋_GB2312" w:cs="仿宋_GB2312"/>
          <w:kern w:val="0"/>
          <w:sz w:val="32"/>
          <w:szCs w:val="32"/>
          <w:lang w:val="en-US" w:eastAsia="zh-CN" w:bidi="ar"/>
        </w:rPr>
        <w:t>预算</w:t>
      </w:r>
      <w:r>
        <w:rPr>
          <w:rFonts w:hint="default" w:ascii="仿宋_GB2312" w:hAnsi="仿宋" w:eastAsia="仿宋_GB2312" w:cs="Times New Roman"/>
          <w:kern w:val="0"/>
          <w:sz w:val="32"/>
          <w:szCs w:val="32"/>
          <w:lang w:val="en-US" w:eastAsia="zh-CN" w:bidi="ar"/>
        </w:rPr>
        <w:t>1625.03</w:t>
      </w:r>
      <w:r>
        <w:rPr>
          <w:rFonts w:hint="default" w:ascii="仿宋_GB2312" w:hAnsi="仿宋" w:eastAsia="仿宋_GB2312" w:cs="仿宋_GB2312"/>
          <w:kern w:val="0"/>
          <w:sz w:val="32"/>
          <w:szCs w:val="32"/>
          <w:lang w:val="en-US" w:eastAsia="zh-CN" w:bidi="ar"/>
        </w:rPr>
        <w:t>万元，决算数</w:t>
      </w:r>
      <w:r>
        <w:rPr>
          <w:rFonts w:hint="default" w:ascii="仿宋_GB2312" w:hAnsi="仿宋" w:eastAsia="仿宋_GB2312" w:cs="Times New Roman"/>
          <w:kern w:val="0"/>
          <w:sz w:val="32"/>
          <w:szCs w:val="32"/>
          <w:lang w:val="en-US" w:eastAsia="zh-CN" w:bidi="ar"/>
        </w:rPr>
        <w:t>1637.17</w:t>
      </w:r>
      <w:r>
        <w:rPr>
          <w:rFonts w:hint="default" w:ascii="仿宋_GB2312" w:hAnsi="仿宋" w:eastAsia="仿宋_GB2312" w:cs="仿宋_GB2312"/>
          <w:kern w:val="0"/>
          <w:sz w:val="32"/>
          <w:szCs w:val="32"/>
          <w:lang w:val="en-US" w:eastAsia="zh-CN" w:bidi="ar"/>
        </w:rPr>
        <w:t>元，</w:t>
      </w:r>
      <w:r>
        <w:rPr>
          <w:rFonts w:hint="default" w:ascii="仿宋_GB2312" w:hAnsi="Times New Roman" w:eastAsia="仿宋_GB2312" w:cs="仿宋_GB2312"/>
          <w:kern w:val="0"/>
          <w:sz w:val="32"/>
          <w:szCs w:val="32"/>
          <w:lang w:val="en-US" w:eastAsia="zh-CN" w:bidi="ar"/>
        </w:rPr>
        <w:t>决算增加12.14万元，增加原因</w:t>
      </w:r>
      <w:r>
        <w:rPr>
          <w:rFonts w:hint="default" w:ascii="仿宋_GB2312" w:hAnsi="仿宋" w:eastAsia="仿宋_GB2312" w:cs="仿宋_GB2312"/>
          <w:kern w:val="0"/>
          <w:sz w:val="32"/>
          <w:szCs w:val="32"/>
          <w:lang w:val="en-US" w:eastAsia="zh-CN" w:bidi="ar"/>
        </w:rPr>
        <w:t>后期财政厅追加经费</w:t>
      </w:r>
      <w:r>
        <w:rPr>
          <w:rFonts w:hint="default" w:ascii="仿宋_GB2312" w:hAnsi="Times New Roman" w:eastAsia="仿宋_GB2312" w:cs="仿宋_GB2312"/>
          <w:kern w:val="0"/>
          <w:sz w:val="32"/>
          <w:szCs w:val="32"/>
          <w:lang w:val="en-US" w:eastAsia="zh-CN" w:bidi="ar"/>
        </w:rPr>
        <w:t>；其他收入无年初预算，决算数50.8万元，决算增加50.8万元，增加原因是</w:t>
      </w:r>
      <w:r>
        <w:rPr>
          <w:rFonts w:hint="default" w:ascii="仿宋_GB2312" w:hAnsi="仿宋" w:eastAsia="仿宋_GB2312" w:cs="仿宋_GB2312"/>
          <w:kern w:val="0"/>
          <w:sz w:val="32"/>
          <w:szCs w:val="32"/>
          <w:lang w:val="en-US" w:eastAsia="zh-CN" w:bidi="ar"/>
        </w:rPr>
        <w:t>由于后期经费不足，不能维持正常运转，故青山财政局拨款</w:t>
      </w:r>
      <w:r>
        <w:rPr>
          <w:rFonts w:hint="default" w:ascii="仿宋_GB2312" w:hAnsi="仿宋" w:eastAsia="仿宋_GB2312" w:cs="宋体"/>
          <w:kern w:val="0"/>
          <w:sz w:val="32"/>
          <w:szCs w:val="32"/>
          <w:lang w:val="en-US" w:eastAsia="zh-CN" w:bidi="ar"/>
        </w:rPr>
        <w:t>50</w:t>
      </w:r>
      <w:r>
        <w:rPr>
          <w:rFonts w:hint="default" w:ascii="仿宋_GB2312" w:hAnsi="仿宋" w:eastAsia="仿宋_GB2312" w:cs="仿宋_GB2312"/>
          <w:kern w:val="0"/>
          <w:sz w:val="32"/>
          <w:szCs w:val="32"/>
          <w:lang w:val="en-US" w:eastAsia="zh-CN" w:bidi="ar"/>
        </w:rPr>
        <w:t>万元。</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二、关于2019年度决算情况说明</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楷体" w:cs="Times New Roman"/>
          <w:kern w:val="0"/>
          <w:sz w:val="32"/>
          <w:szCs w:val="32"/>
        </w:rPr>
      </w:pPr>
      <w:r>
        <w:rPr>
          <w:rFonts w:hint="eastAsia" w:ascii="楷体" w:hAnsi="楷体" w:eastAsia="楷体" w:cs="楷体"/>
          <w:kern w:val="0"/>
          <w:sz w:val="32"/>
          <w:szCs w:val="32"/>
          <w:lang w:val="en-US" w:eastAsia="zh-CN" w:bidi="ar"/>
        </w:rPr>
        <w:t>（一）关于收支情况总体说明</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仿宋_GB2312" w:hAnsi="Times New Roman" w:eastAsia="仿宋_GB2312" w:cs="仿宋_GB2312"/>
          <w:kern w:val="0"/>
          <w:sz w:val="32"/>
          <w:szCs w:val="32"/>
        </w:rPr>
      </w:pPr>
      <w:r>
        <w:rPr>
          <w:rFonts w:hint="default" w:ascii="仿宋_GB2312" w:hAnsi="Times New Roman" w:eastAsia="仿宋_GB2312" w:cs="仿宋_GB2312"/>
          <w:kern w:val="0"/>
          <w:sz w:val="32"/>
          <w:szCs w:val="32"/>
          <w:lang w:val="en-US" w:eastAsia="zh-CN" w:bidi="ar"/>
        </w:rPr>
        <w:t>本部门2019年度收入总计1,816.70万元，其中：本年收入合计1,687.97万元，用事业基金弥补收支差额0.00万元，年初结转和结余128.73万元；支出总计1,816.70万元，其中：结余分配0.00万元，年末结转和结余32.29万元。与2018年度相比，收入总计减少62.81万元，下降8.20%；支出总计减少162.81万元，下降8.20%。主要原因：</w:t>
      </w:r>
      <w:r>
        <w:rPr>
          <w:rFonts w:hint="default" w:ascii="仿宋_GB2312" w:hAnsi="宋体" w:eastAsia="仿宋_GB2312" w:cs="仿宋_GB2312"/>
          <w:kern w:val="0"/>
          <w:sz w:val="32"/>
          <w:szCs w:val="32"/>
          <w:lang w:val="en-US" w:eastAsia="zh-CN" w:bidi="ar"/>
        </w:rPr>
        <w:t>监察委转隶，工资减少</w:t>
      </w:r>
      <w:r>
        <w:rPr>
          <w:rFonts w:hint="default" w:ascii="仿宋_GB2312" w:hAnsi="Times New Roman" w:eastAsia="仿宋_GB2312" w:cs="仿宋_GB2312"/>
          <w:kern w:val="0"/>
          <w:sz w:val="32"/>
          <w:szCs w:val="32"/>
          <w:lang w:val="en-US" w:eastAsia="zh-CN" w:bidi="ar"/>
        </w:rPr>
        <w:t>。</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楷体" w:cs="Times New Roman"/>
          <w:kern w:val="0"/>
          <w:sz w:val="32"/>
          <w:szCs w:val="32"/>
        </w:rPr>
      </w:pPr>
      <w:r>
        <w:rPr>
          <w:rFonts w:hint="eastAsia" w:ascii="楷体" w:hAnsi="楷体" w:eastAsia="楷体" w:cs="楷体"/>
          <w:kern w:val="0"/>
          <w:sz w:val="32"/>
          <w:szCs w:val="32"/>
          <w:lang w:val="en-US" w:eastAsia="zh-CN" w:bidi="ar"/>
        </w:rPr>
        <w:t>（二）关于</w:t>
      </w:r>
      <w:r>
        <w:rPr>
          <w:rFonts w:hint="eastAsia" w:ascii="楷体" w:hAnsi="Times New Roman" w:eastAsia="楷体" w:cs="楷体"/>
          <w:kern w:val="0"/>
          <w:sz w:val="32"/>
          <w:szCs w:val="32"/>
          <w:lang w:val="en-US" w:eastAsia="zh-CN" w:bidi="ar"/>
        </w:rPr>
        <w:t>2019</w:t>
      </w:r>
      <w:r>
        <w:rPr>
          <w:rFonts w:hint="eastAsia" w:ascii="楷体" w:hAnsi="楷体" w:eastAsia="楷体" w:cs="楷体"/>
          <w:kern w:val="0"/>
          <w:sz w:val="32"/>
          <w:szCs w:val="32"/>
          <w:lang w:val="en-US" w:eastAsia="zh-CN" w:bidi="ar"/>
        </w:rPr>
        <w:t>年度收入决算情况说明</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本部门2019年度收入合计1,687.97万元，其中：财政拨款收入1,637.17万元，占97.00%；其他收入50.80万元，占3.00%。</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楷体" w:cs="Times New Roman"/>
          <w:kern w:val="0"/>
          <w:sz w:val="32"/>
          <w:szCs w:val="32"/>
        </w:rPr>
      </w:pPr>
      <w:r>
        <w:rPr>
          <w:rFonts w:hint="eastAsia" w:ascii="楷体" w:hAnsi="楷体" w:eastAsia="楷体" w:cs="楷体"/>
          <w:kern w:val="0"/>
          <w:sz w:val="32"/>
          <w:szCs w:val="32"/>
          <w:lang w:val="en-US" w:eastAsia="zh-CN" w:bidi="ar"/>
        </w:rPr>
        <w:t>（三）关于</w:t>
      </w:r>
      <w:r>
        <w:rPr>
          <w:rFonts w:hint="eastAsia" w:ascii="楷体" w:hAnsi="Times New Roman" w:eastAsia="楷体" w:cs="楷体"/>
          <w:kern w:val="0"/>
          <w:sz w:val="32"/>
          <w:szCs w:val="32"/>
          <w:lang w:val="en-US" w:eastAsia="zh-CN" w:bidi="ar"/>
        </w:rPr>
        <w:t>2019</w:t>
      </w:r>
      <w:r>
        <w:rPr>
          <w:rFonts w:hint="eastAsia" w:ascii="楷体" w:hAnsi="楷体" w:eastAsia="楷体" w:cs="楷体"/>
          <w:kern w:val="0"/>
          <w:sz w:val="32"/>
          <w:szCs w:val="32"/>
          <w:lang w:val="en-US" w:eastAsia="zh-CN" w:bidi="ar"/>
        </w:rPr>
        <w:t>年度支出决算情况说明</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仿宋_GB2312" w:hAnsi="Times New Roman" w:eastAsia="仿宋_GB2312" w:cs="仿宋_GB2312"/>
          <w:kern w:val="0"/>
          <w:sz w:val="32"/>
          <w:szCs w:val="32"/>
        </w:rPr>
      </w:pPr>
      <w:r>
        <w:rPr>
          <w:rFonts w:hint="default" w:ascii="仿宋_GB2312" w:hAnsi="Times New Roman" w:eastAsia="仿宋_GB2312" w:cs="仿宋_GB2312"/>
          <w:kern w:val="0"/>
          <w:sz w:val="32"/>
          <w:szCs w:val="32"/>
          <w:lang w:val="en-US" w:eastAsia="zh-CN" w:bidi="ar"/>
        </w:rPr>
        <w:t>本部门2019年度支出合计1,784.41万元，其中：基本支出942.79万元，占52.80%；项目支出841.61万元，占47.20%。</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楷体" w:cs="Times New Roman"/>
          <w:kern w:val="0"/>
          <w:sz w:val="32"/>
          <w:szCs w:val="32"/>
        </w:rPr>
      </w:pPr>
      <w:r>
        <w:rPr>
          <w:rFonts w:hint="eastAsia" w:ascii="楷体" w:hAnsi="楷体" w:eastAsia="楷体" w:cs="楷体"/>
          <w:kern w:val="0"/>
          <w:sz w:val="32"/>
          <w:szCs w:val="32"/>
          <w:lang w:val="en-US" w:eastAsia="zh-CN" w:bidi="ar"/>
        </w:rPr>
        <w:t>（四）关于</w:t>
      </w:r>
      <w:r>
        <w:rPr>
          <w:rFonts w:hint="eastAsia" w:ascii="楷体" w:hAnsi="Times New Roman" w:eastAsia="楷体" w:cs="楷体"/>
          <w:kern w:val="0"/>
          <w:sz w:val="32"/>
          <w:szCs w:val="32"/>
          <w:lang w:val="en-US" w:eastAsia="zh-CN" w:bidi="ar"/>
        </w:rPr>
        <w:t>2019</w:t>
      </w:r>
      <w:r>
        <w:rPr>
          <w:rFonts w:hint="eastAsia" w:ascii="楷体" w:hAnsi="楷体" w:eastAsia="楷体" w:cs="楷体"/>
          <w:kern w:val="0"/>
          <w:sz w:val="32"/>
          <w:szCs w:val="32"/>
          <w:lang w:val="en-US" w:eastAsia="zh-CN" w:bidi="ar"/>
        </w:rPr>
        <w:t>年度财政拨款收入支出决算总体情况说明</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本部门2019年度财政拨款收入总计1,702.93万元，其中：年初结转和结余65.76万元；支出总计1,702.93万元，其中：年末结转和结余8.35万元。与2018年度相比，收入减少170.58万元，下降9.10%；支出减少170.58万元，下降9.10%。主要原因：</w:t>
      </w:r>
      <w:r>
        <w:rPr>
          <w:rFonts w:hint="default" w:ascii="仿宋_GB2312" w:hAnsi="宋体" w:eastAsia="仿宋_GB2312" w:cs="仿宋_GB2312"/>
          <w:kern w:val="0"/>
          <w:sz w:val="32"/>
          <w:szCs w:val="32"/>
          <w:lang w:val="en-US" w:eastAsia="zh-CN" w:bidi="ar"/>
        </w:rPr>
        <w:t>监察委转隶，工资减少，导致收入与支出较上年均减少</w:t>
      </w:r>
      <w:r>
        <w:rPr>
          <w:rFonts w:hint="default" w:ascii="仿宋_GB2312" w:hAnsi="Times New Roman" w:eastAsia="仿宋_GB2312" w:cs="仿宋_GB2312"/>
          <w:kern w:val="0"/>
          <w:sz w:val="32"/>
          <w:szCs w:val="32"/>
          <w:lang w:val="en-US" w:eastAsia="zh-CN" w:bidi="ar"/>
        </w:rPr>
        <w:t>。</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eastAsia" w:ascii="楷体" w:hAnsi="Times New Roman" w:eastAsia="楷体" w:cs="楷体"/>
          <w:kern w:val="0"/>
          <w:sz w:val="32"/>
          <w:szCs w:val="32"/>
        </w:rPr>
      </w:pPr>
      <w:r>
        <w:rPr>
          <w:rFonts w:hint="eastAsia" w:ascii="楷体" w:hAnsi="楷体" w:eastAsia="楷体" w:cs="楷体"/>
          <w:kern w:val="0"/>
          <w:sz w:val="32"/>
          <w:szCs w:val="32"/>
          <w:lang w:val="en-US" w:eastAsia="zh-CN" w:bidi="ar"/>
        </w:rPr>
        <w:t>（五）关于</w:t>
      </w:r>
      <w:r>
        <w:rPr>
          <w:rFonts w:hint="eastAsia" w:ascii="楷体" w:hAnsi="Times New Roman" w:eastAsia="楷体" w:cs="楷体"/>
          <w:kern w:val="0"/>
          <w:sz w:val="32"/>
          <w:szCs w:val="32"/>
          <w:lang w:val="en-US" w:eastAsia="zh-CN" w:bidi="ar"/>
        </w:rPr>
        <w:t>2019</w:t>
      </w:r>
      <w:r>
        <w:rPr>
          <w:rFonts w:hint="eastAsia" w:ascii="楷体" w:hAnsi="楷体" w:eastAsia="楷体" w:cs="楷体"/>
          <w:kern w:val="0"/>
          <w:sz w:val="32"/>
          <w:szCs w:val="32"/>
          <w:lang w:val="en-US" w:eastAsia="zh-CN" w:bidi="ar"/>
        </w:rPr>
        <w:t>年度一般公共预算财政拨款支出决算情况说明</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本部门2019年度一般公共预算财政拨款支出合计1,694.57</w:t>
      </w:r>
      <w:r>
        <w:rPr>
          <w:rFonts w:hint="eastAsia" w:ascii="仿宋_GB2312" w:hAnsi="Times New Roman" w:eastAsia="仿宋_GB2312" w:cs="仿宋_GB2312"/>
          <w:kern w:val="0"/>
          <w:sz w:val="32"/>
          <w:szCs w:val="32"/>
          <w:lang w:val="en-US" w:eastAsia="zh-CN" w:bidi="ar"/>
        </w:rPr>
        <w:t>万</w:t>
      </w:r>
      <w:r>
        <w:rPr>
          <w:rFonts w:hint="default" w:ascii="仿宋_GB2312" w:hAnsi="Times New Roman" w:eastAsia="仿宋_GB2312" w:cs="仿宋_GB2312"/>
          <w:kern w:val="0"/>
          <w:sz w:val="32"/>
          <w:szCs w:val="32"/>
          <w:lang w:val="en-US" w:eastAsia="zh-CN" w:bidi="ar"/>
        </w:rPr>
        <w:t>元，其中：基本支出942.79万元，占55.60%；项目支出751.78万元，占44.40%。</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楷体" w:cs="Times New Roman"/>
          <w:kern w:val="0"/>
          <w:sz w:val="32"/>
          <w:szCs w:val="32"/>
        </w:rPr>
      </w:pPr>
      <w:r>
        <w:rPr>
          <w:rFonts w:hint="eastAsia" w:ascii="楷体" w:hAnsi="楷体" w:eastAsia="楷体" w:cs="楷体"/>
          <w:kern w:val="0"/>
          <w:sz w:val="32"/>
          <w:szCs w:val="32"/>
          <w:lang w:val="en-US" w:eastAsia="zh-CN" w:bidi="ar"/>
        </w:rPr>
        <w:t>（六）关于</w:t>
      </w:r>
      <w:r>
        <w:rPr>
          <w:rFonts w:hint="eastAsia" w:ascii="楷体" w:hAnsi="Times New Roman" w:eastAsia="楷体" w:cs="楷体"/>
          <w:kern w:val="0"/>
          <w:sz w:val="32"/>
          <w:szCs w:val="32"/>
          <w:lang w:val="en-US" w:eastAsia="zh-CN" w:bidi="ar"/>
        </w:rPr>
        <w:t>2019</w:t>
      </w:r>
      <w:r>
        <w:rPr>
          <w:rFonts w:hint="eastAsia" w:ascii="楷体" w:hAnsi="楷体" w:eastAsia="楷体" w:cs="楷体"/>
          <w:kern w:val="0"/>
          <w:sz w:val="32"/>
          <w:szCs w:val="32"/>
          <w:lang w:val="en-US" w:eastAsia="zh-CN" w:bidi="ar"/>
        </w:rPr>
        <w:t>年度一般公共预算财政拨款基本支出决算情况说明</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本部门2019年度一般公共预算财政拨款基本支出942.79万元，其中：人员经费807.86万元，主要包括：基本工资、津贴补贴、社会保障缴费、住房公积金、绩效工资，较上年减少132.88万元，主要原因是：</w:t>
      </w:r>
      <w:r>
        <w:rPr>
          <w:rFonts w:hint="default" w:ascii="仿宋_GB2312" w:hAnsi="宋体" w:eastAsia="仿宋_GB2312" w:cs="仿宋_GB2312"/>
          <w:kern w:val="0"/>
          <w:sz w:val="32"/>
          <w:szCs w:val="32"/>
          <w:lang w:val="en-US" w:eastAsia="zh-CN" w:bidi="ar"/>
        </w:rPr>
        <w:t>监察委转隶，工资减少</w:t>
      </w:r>
      <w:r>
        <w:rPr>
          <w:rFonts w:hint="default" w:ascii="仿宋_GB2312" w:hAnsi="Times New Roman" w:eastAsia="仿宋_GB2312" w:cs="仿宋_GB2312"/>
          <w:kern w:val="0"/>
          <w:sz w:val="32"/>
          <w:szCs w:val="32"/>
          <w:lang w:val="en-US" w:eastAsia="zh-CN" w:bidi="ar"/>
        </w:rPr>
        <w:t>；公用经费134.93万元，主要包括：办公费、维修维护费、水费、电费、差旅费、物业管理费，较上年减少44.37万元，主要原因是：</w:t>
      </w:r>
      <w:r>
        <w:rPr>
          <w:rFonts w:hint="default" w:ascii="仿宋_GB2312" w:hAnsi="宋体" w:eastAsia="仿宋_GB2312" w:cs="仿宋_GB2312"/>
          <w:kern w:val="0"/>
          <w:sz w:val="32"/>
          <w:szCs w:val="32"/>
          <w:lang w:val="en-US" w:eastAsia="zh-CN" w:bidi="ar"/>
        </w:rPr>
        <w:t>监察委转隶，人员减少，故相应公用经费减少</w:t>
      </w:r>
      <w:r>
        <w:rPr>
          <w:rFonts w:hint="default" w:ascii="仿宋_GB2312" w:hAnsi="Times New Roman" w:eastAsia="仿宋_GB2312" w:cs="仿宋_GB2312"/>
          <w:kern w:val="0"/>
          <w:sz w:val="32"/>
          <w:szCs w:val="32"/>
          <w:lang w:val="en-US" w:eastAsia="zh-CN" w:bidi="ar"/>
        </w:rPr>
        <w:t>。</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楷体" w:cs="Times New Roman"/>
          <w:kern w:val="0"/>
          <w:sz w:val="32"/>
          <w:szCs w:val="32"/>
        </w:rPr>
      </w:pPr>
      <w:r>
        <w:rPr>
          <w:rFonts w:hint="eastAsia" w:ascii="楷体" w:hAnsi="楷体" w:eastAsia="楷体" w:cs="楷体"/>
          <w:kern w:val="0"/>
          <w:sz w:val="32"/>
          <w:szCs w:val="32"/>
          <w:lang w:val="en-US" w:eastAsia="zh-CN" w:bidi="ar"/>
        </w:rPr>
        <w:t>（七）关于</w:t>
      </w:r>
      <w:r>
        <w:rPr>
          <w:rFonts w:hint="eastAsia" w:ascii="楷体" w:hAnsi="Times New Roman" w:eastAsia="楷体" w:cs="楷体"/>
          <w:kern w:val="0"/>
          <w:sz w:val="32"/>
          <w:szCs w:val="32"/>
          <w:lang w:val="en-US" w:eastAsia="zh-CN" w:bidi="ar"/>
        </w:rPr>
        <w:t>2019</w:t>
      </w:r>
      <w:r>
        <w:rPr>
          <w:rFonts w:hint="eastAsia" w:ascii="楷体" w:hAnsi="楷体" w:eastAsia="楷体" w:cs="楷体"/>
          <w:kern w:val="0"/>
          <w:sz w:val="32"/>
          <w:szCs w:val="32"/>
          <w:lang w:val="en-US" w:eastAsia="zh-CN" w:bidi="ar"/>
        </w:rPr>
        <w:t>年度财政拨款</w:t>
      </w:r>
      <w:r>
        <w:rPr>
          <w:rFonts w:hint="default" w:ascii="Times New Roman" w:hAnsi="Times New Roman" w:eastAsia="楷体" w:cs="Times New Roman"/>
          <w:kern w:val="0"/>
          <w:sz w:val="32"/>
          <w:szCs w:val="32"/>
          <w:lang w:val="en-US" w:eastAsia="zh-CN" w:bidi="ar"/>
        </w:rPr>
        <w:t>“</w:t>
      </w:r>
      <w:r>
        <w:rPr>
          <w:rFonts w:hint="eastAsia" w:ascii="楷体" w:hAnsi="楷体" w:eastAsia="楷体" w:cs="楷体"/>
          <w:kern w:val="0"/>
          <w:sz w:val="32"/>
          <w:szCs w:val="32"/>
          <w:lang w:val="en-US" w:eastAsia="zh-CN" w:bidi="ar"/>
        </w:rPr>
        <w:t>三公</w:t>
      </w:r>
      <w:r>
        <w:rPr>
          <w:rFonts w:hint="default" w:ascii="Times New Roman" w:hAnsi="Times New Roman" w:eastAsia="楷体" w:cs="Times New Roman"/>
          <w:kern w:val="0"/>
          <w:sz w:val="32"/>
          <w:szCs w:val="32"/>
          <w:lang w:val="en-US" w:eastAsia="zh-CN" w:bidi="ar"/>
        </w:rPr>
        <w:t>”</w:t>
      </w:r>
      <w:r>
        <w:rPr>
          <w:rFonts w:hint="eastAsia" w:ascii="楷体" w:hAnsi="楷体" w:eastAsia="楷体" w:cs="楷体"/>
          <w:kern w:val="0"/>
          <w:sz w:val="32"/>
          <w:szCs w:val="32"/>
          <w:lang w:val="en-US" w:eastAsia="zh-CN" w:bidi="ar"/>
        </w:rPr>
        <w:t>经费支出决算情况说明</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1、财政拨款</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三公</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经费支出决算总体情况说明</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本部门2019年度财政拨款</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三公</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经费预算为23.30万元，支出决算为17.30万元，完成预算的74.20%，其中：因公出国（境）费预算为0.00万元，支出决算为0.00万元，完成预算的0.00%；公务用车购置及运行维护费预算为22.30万元，支出决算为17.30万元，完成预算的77.60%；公务接待费预算为1.00万元，支出决算为0.00万元，完成预算的0.00%。2019年度财政拨款</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三公</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经费支出决算与预算差异情况的原因：2019年厉行节约，严格控制公务接待，严格执行公务用车管理制度，故公务用车购置及运行维护费几公务接待费较预算低。</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2、财政拨款</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三公</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经费支出决算具体情况说明</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本部门2019年度财政拨款</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三公</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经费支出17.30万元，因公出国（境）费支出0.00万元，占0.00%；公务用车购置及运行维护费支出17.30万元，占100.00%；公务接待费支出0.00万元，占0.00%。具体情况如下：</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仿宋_GB2312" w:hAnsi="Times New Roman" w:eastAsia="仿宋_GB2312" w:cs="仿宋_GB2312"/>
          <w:kern w:val="0"/>
          <w:sz w:val="32"/>
          <w:szCs w:val="32"/>
        </w:rPr>
      </w:pPr>
      <w:r>
        <w:rPr>
          <w:rFonts w:hint="default" w:ascii="仿宋_GB2312" w:hAnsi="Times New Roman" w:eastAsia="仿宋_GB2312" w:cs="仿宋_GB2312"/>
          <w:b/>
          <w:kern w:val="0"/>
          <w:sz w:val="32"/>
          <w:szCs w:val="32"/>
          <w:lang w:val="en-US" w:eastAsia="zh-CN" w:bidi="ar"/>
        </w:rPr>
        <w:t>因公出国（境）费支出</w:t>
      </w:r>
      <w:r>
        <w:rPr>
          <w:rFonts w:hint="default" w:ascii="仿宋_GB2312" w:hAnsi="Times New Roman" w:eastAsia="仿宋_GB2312" w:cs="仿宋_GB2312"/>
          <w:kern w:val="0"/>
          <w:sz w:val="32"/>
          <w:szCs w:val="32"/>
          <w:lang w:val="en-US" w:eastAsia="zh-CN" w:bidi="ar"/>
        </w:rPr>
        <w:t>0.00万元。全年因公出国（境）团组0个，累计0人次。</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b/>
          <w:kern w:val="0"/>
          <w:sz w:val="32"/>
          <w:szCs w:val="32"/>
          <w:lang w:val="en-US" w:eastAsia="zh-CN" w:bidi="ar"/>
        </w:rPr>
        <w:t>公务用车购置及运行维护费支出</w:t>
      </w:r>
      <w:r>
        <w:rPr>
          <w:rFonts w:hint="default" w:ascii="仿宋_GB2312" w:hAnsi="Times New Roman" w:eastAsia="仿宋_GB2312" w:cs="仿宋_GB2312"/>
          <w:kern w:val="0"/>
          <w:sz w:val="32"/>
          <w:szCs w:val="32"/>
          <w:lang w:val="en-US" w:eastAsia="zh-CN" w:bidi="ar"/>
        </w:rPr>
        <w:t>17.30万元。其中：公务用车购置支出0.00万元。公务用车运行维护费支出17.30万元，用于用于办案用车燃料费、修理费、保险费等，车均运维费1.73万元，较上年增加1.27万元，主要原因是车辆老旧故运维花费增加，财政拨款开支的公务用车保有量为10辆。</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仿宋_GB2312" w:hAnsi="Times New Roman" w:eastAsia="仿宋_GB2312" w:cs="仿宋_GB2312"/>
          <w:kern w:val="0"/>
          <w:sz w:val="32"/>
          <w:szCs w:val="32"/>
        </w:rPr>
      </w:pPr>
      <w:r>
        <w:rPr>
          <w:rFonts w:hint="default" w:ascii="仿宋_GB2312" w:hAnsi="Times New Roman" w:eastAsia="仿宋_GB2312" w:cs="仿宋_GB2312"/>
          <w:b/>
          <w:kern w:val="0"/>
          <w:sz w:val="32"/>
          <w:szCs w:val="32"/>
          <w:lang w:val="en-US" w:eastAsia="zh-CN" w:bidi="ar"/>
        </w:rPr>
        <w:t>公务接待费支出</w:t>
      </w:r>
      <w:r>
        <w:rPr>
          <w:rFonts w:hint="default" w:ascii="仿宋_GB2312" w:hAnsi="Times New Roman" w:eastAsia="仿宋_GB2312" w:cs="仿宋_GB2312"/>
          <w:kern w:val="0"/>
          <w:sz w:val="32"/>
          <w:szCs w:val="32"/>
          <w:lang w:val="en-US" w:eastAsia="zh-CN" w:bidi="ar"/>
        </w:rPr>
        <w:t>0.00万元。</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三、预算绩效情况说明</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（一）预算绩效管理工作开展情况</w:t>
      </w:r>
    </w:p>
    <w:p>
      <w:pPr>
        <w:keepNext w:val="0"/>
        <w:keepLines w:val="0"/>
        <w:widowControl/>
        <w:suppressLineNumbers w:val="0"/>
        <w:snapToGrid w:val="0"/>
        <w:spacing w:before="0" w:beforeAutospacing="0" w:after="0" w:afterAutospacing="0" w:line="560" w:lineRule="exact"/>
        <w:ind w:left="0" w:right="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
        </w:rPr>
        <w:t>我院成立绩效评价小组，坚持科学规范、公开公正和绩效相关的三个原则进行绩效自评工作，一方面重点考核目标设立的充分性、明确性、合理性以及细化程度；另一方面重点评价资金分配结果、资金到位、预算执行和结果，重点评价绩效目标的实现程度和效果，保证绩效自评工作高质量完成。</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（二）部门决算中项目绩效自评结果</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仿宋_GB2312" w:hAnsi="Times New Roman" w:eastAsia="仿宋_GB2312" w:cs="宋体"/>
          <w:kern w:val="0"/>
          <w:sz w:val="32"/>
          <w:szCs w:val="32"/>
        </w:rPr>
      </w:pPr>
      <w:r>
        <w:rPr>
          <w:rFonts w:hint="default" w:ascii="仿宋_GB2312" w:hAnsi="Times New Roman" w:eastAsia="仿宋_GB2312" w:cs="宋体"/>
          <w:kern w:val="0"/>
          <w:sz w:val="32"/>
          <w:szCs w:val="32"/>
          <w:lang w:val="en-US" w:eastAsia="zh-CN" w:bidi="ar"/>
        </w:rPr>
        <w:t>2019年我院收到自治区和中央转移支付办案业务费509</w:t>
      </w:r>
      <w:r>
        <w:rPr>
          <w:rFonts w:hint="default" w:ascii="仿宋_GB2312" w:hAnsi="Times New Roman" w:eastAsia="仿宋_GB2312" w:cs="仿宋_GB2312"/>
          <w:kern w:val="0"/>
          <w:sz w:val="32"/>
          <w:szCs w:val="32"/>
          <w:lang w:val="en-US" w:eastAsia="zh-CN" w:bidi="ar"/>
        </w:rPr>
        <w:t>万元、业务装备经费</w:t>
      </w:r>
      <w:r>
        <w:rPr>
          <w:rFonts w:hint="default" w:ascii="仿宋_GB2312" w:hAnsi="Times New Roman" w:eastAsia="仿宋_GB2312" w:cs="宋体"/>
          <w:kern w:val="0"/>
          <w:sz w:val="32"/>
          <w:szCs w:val="32"/>
          <w:lang w:val="en-US" w:eastAsia="zh-CN" w:bidi="ar"/>
        </w:rPr>
        <w:t>87</w:t>
      </w:r>
      <w:r>
        <w:rPr>
          <w:rFonts w:hint="default" w:ascii="仿宋_GB2312" w:hAnsi="Times New Roman" w:eastAsia="仿宋_GB2312" w:cs="仿宋_GB2312"/>
          <w:kern w:val="0"/>
          <w:sz w:val="32"/>
          <w:szCs w:val="32"/>
          <w:lang w:val="en-US" w:eastAsia="zh-CN" w:bidi="ar"/>
        </w:rPr>
        <w:t>万元，基本完成年初制定的绩效目标，资金支出排在自治区前列，较好地利用了财政资金、保障干警办案经费。</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仿宋_GB2312" w:hAnsi="Times New Roman" w:eastAsia="仿宋_GB2312" w:cs="宋体"/>
          <w:kern w:val="0"/>
          <w:sz w:val="32"/>
          <w:szCs w:val="32"/>
        </w:rPr>
      </w:pPr>
      <w:r>
        <w:rPr>
          <w:rFonts w:hint="default" w:ascii="仿宋_GB2312" w:hAnsi="Times New Roman" w:eastAsia="仿宋_GB2312" w:cs="仿宋_GB2312"/>
          <w:kern w:val="0"/>
          <w:sz w:val="32"/>
          <w:szCs w:val="32"/>
          <w:lang w:val="en-US" w:eastAsia="zh-CN" w:bidi="ar"/>
        </w:rPr>
        <w:t>办案业务费：</w:t>
      </w:r>
      <w:r>
        <w:rPr>
          <w:rFonts w:hint="default" w:ascii="仿宋_GB2312" w:hAnsi="Times New Roman" w:eastAsia="仿宋_GB2312" w:cs="宋体"/>
          <w:kern w:val="0"/>
          <w:sz w:val="32"/>
          <w:szCs w:val="32"/>
          <w:lang w:val="en-US" w:eastAsia="zh-CN" w:bidi="ar"/>
        </w:rPr>
        <w:t>2019年受理案件2000</w:t>
      </w:r>
      <w:r>
        <w:rPr>
          <w:rFonts w:hint="default" w:ascii="仿宋_GB2312" w:hAnsi="Times New Roman" w:eastAsia="仿宋_GB2312" w:cs="仿宋_GB2312"/>
          <w:kern w:val="0"/>
          <w:sz w:val="32"/>
          <w:szCs w:val="32"/>
          <w:lang w:val="en-US" w:eastAsia="zh-CN" w:bidi="ar"/>
        </w:rPr>
        <w:t>余件，结案率达到</w:t>
      </w:r>
      <w:r>
        <w:rPr>
          <w:rFonts w:hint="default" w:ascii="仿宋_GB2312" w:hAnsi="Times New Roman" w:eastAsia="仿宋_GB2312" w:cs="宋体"/>
          <w:kern w:val="0"/>
          <w:sz w:val="32"/>
          <w:szCs w:val="32"/>
          <w:lang w:val="en-US" w:eastAsia="zh-CN" w:bidi="ar"/>
        </w:rPr>
        <w:t>95%，</w:t>
      </w:r>
      <w:r>
        <w:rPr>
          <w:rFonts w:hint="default" w:ascii="仿宋_GB2312" w:hAnsi="Times New Roman" w:eastAsia="仿宋_GB2312" w:cs="仿宋_GB2312"/>
          <w:kern w:val="0"/>
          <w:sz w:val="32"/>
          <w:szCs w:val="32"/>
          <w:lang w:val="en-US" w:eastAsia="zh-CN" w:bidi="ar"/>
        </w:rPr>
        <w:t>平均办案时间为受理后</w:t>
      </w:r>
      <w:r>
        <w:rPr>
          <w:rFonts w:hint="default" w:ascii="仿宋_GB2312" w:hAnsi="Times New Roman" w:eastAsia="仿宋_GB2312" w:cs="宋体"/>
          <w:kern w:val="0"/>
          <w:sz w:val="32"/>
          <w:szCs w:val="32"/>
          <w:lang w:val="en-US" w:eastAsia="zh-CN" w:bidi="ar"/>
        </w:rPr>
        <w:t>5天内审结，</w:t>
      </w:r>
      <w:r>
        <w:rPr>
          <w:rFonts w:hint="default" w:ascii="仿宋_GB2312" w:hAnsi="Times New Roman" w:eastAsia="仿宋_GB2312" w:cs="仿宋_GB2312"/>
          <w:kern w:val="0"/>
          <w:sz w:val="32"/>
          <w:szCs w:val="32"/>
          <w:lang w:val="en-US" w:eastAsia="zh-CN" w:bidi="ar"/>
        </w:rPr>
        <w:t>人均办案支出</w:t>
      </w:r>
      <w:r>
        <w:rPr>
          <w:rFonts w:hint="default" w:ascii="仿宋_GB2312" w:hAnsi="Times New Roman" w:eastAsia="仿宋_GB2312" w:cs="宋体"/>
          <w:kern w:val="0"/>
          <w:sz w:val="32"/>
          <w:szCs w:val="32"/>
          <w:lang w:val="en-US" w:eastAsia="zh-CN" w:bidi="ar"/>
        </w:rPr>
        <w:t>&lt;3.4</w:t>
      </w:r>
      <w:r>
        <w:rPr>
          <w:rFonts w:hint="default" w:ascii="仿宋_GB2312" w:hAnsi="Times New Roman" w:eastAsia="仿宋_GB2312" w:cs="仿宋_GB2312"/>
          <w:kern w:val="0"/>
          <w:sz w:val="32"/>
          <w:szCs w:val="32"/>
          <w:lang w:val="en-US" w:eastAsia="zh-CN" w:bidi="ar"/>
        </w:rPr>
        <w:t>万元，挽回经济损失</w:t>
      </w:r>
      <w:r>
        <w:rPr>
          <w:rFonts w:hint="default" w:ascii="仿宋_GB2312" w:hAnsi="Times New Roman" w:eastAsia="仿宋_GB2312" w:cs="宋体"/>
          <w:kern w:val="0"/>
          <w:sz w:val="32"/>
          <w:szCs w:val="32"/>
          <w:lang w:val="en-US" w:eastAsia="zh-CN" w:bidi="ar"/>
        </w:rPr>
        <w:t>&gt;500万，</w:t>
      </w:r>
      <w:r>
        <w:rPr>
          <w:rFonts w:hint="default" w:ascii="仿宋_GB2312" w:hAnsi="Times New Roman" w:eastAsia="仿宋_GB2312" w:cs="仿宋_GB2312"/>
          <w:kern w:val="0"/>
          <w:sz w:val="32"/>
          <w:szCs w:val="32"/>
          <w:lang w:val="en-US" w:eastAsia="zh-CN" w:bidi="ar"/>
        </w:rPr>
        <w:t>案件达到审理数量不减、质量不减，保障干警办案经费，满意度达到</w:t>
      </w:r>
      <w:r>
        <w:rPr>
          <w:rFonts w:hint="default" w:ascii="仿宋_GB2312" w:hAnsi="Times New Roman" w:eastAsia="仿宋_GB2312" w:cs="宋体"/>
          <w:kern w:val="0"/>
          <w:sz w:val="32"/>
          <w:szCs w:val="32"/>
          <w:lang w:val="en-US" w:eastAsia="zh-CN" w:bidi="ar"/>
        </w:rPr>
        <w:t>97%以上，达到年初目标要求。</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仿宋_GB2312" w:hAnsi="Times New Roman" w:eastAsia="仿宋_GB2312" w:cs="宋体"/>
          <w:kern w:val="0"/>
          <w:sz w:val="32"/>
          <w:szCs w:val="32"/>
        </w:rPr>
      </w:pPr>
      <w:r>
        <w:rPr>
          <w:rFonts w:hint="default" w:ascii="仿宋_GB2312" w:hAnsi="Times New Roman" w:eastAsia="仿宋_GB2312" w:cs="仿宋_GB2312"/>
          <w:kern w:val="0"/>
          <w:sz w:val="32"/>
          <w:szCs w:val="32"/>
          <w:lang w:val="en-US" w:eastAsia="zh-CN" w:bidi="ar"/>
        </w:rPr>
        <w:t>业务装备经费：装备采购金额完成年初预算</w:t>
      </w:r>
      <w:r>
        <w:rPr>
          <w:rFonts w:hint="default" w:ascii="仿宋_GB2312" w:hAnsi="Times New Roman" w:eastAsia="仿宋_GB2312" w:cs="宋体"/>
          <w:kern w:val="0"/>
          <w:sz w:val="32"/>
          <w:szCs w:val="32"/>
          <w:lang w:val="en-US" w:eastAsia="zh-CN" w:bidi="ar"/>
        </w:rPr>
        <w:t>87万元，</w:t>
      </w:r>
      <w:r>
        <w:rPr>
          <w:rFonts w:hint="default" w:ascii="仿宋_GB2312" w:hAnsi="Times New Roman" w:eastAsia="仿宋_GB2312" w:cs="仿宋_GB2312"/>
          <w:kern w:val="0"/>
          <w:sz w:val="32"/>
          <w:szCs w:val="32"/>
          <w:lang w:val="en-US" w:eastAsia="zh-CN" w:bidi="ar"/>
        </w:rPr>
        <w:t>装备履行政府采购程序比例</w:t>
      </w:r>
      <w:r>
        <w:rPr>
          <w:rFonts w:hint="default" w:ascii="仿宋_GB2312" w:hAnsi="Times New Roman" w:eastAsia="仿宋_GB2312" w:cs="宋体"/>
          <w:kern w:val="0"/>
          <w:sz w:val="32"/>
          <w:szCs w:val="32"/>
          <w:lang w:val="en-US" w:eastAsia="zh-CN" w:bidi="ar"/>
        </w:rPr>
        <w:t>≥90%</w:t>
      </w:r>
      <w:r>
        <w:rPr>
          <w:rFonts w:hint="default" w:ascii="仿宋_GB2312" w:hAnsi="Times New Roman" w:eastAsia="仿宋_GB2312" w:cs="仿宋_GB2312"/>
          <w:kern w:val="0"/>
          <w:sz w:val="32"/>
          <w:szCs w:val="32"/>
          <w:lang w:val="en-US" w:eastAsia="zh-CN" w:bidi="ar"/>
        </w:rPr>
        <w:t>，验收合格率</w:t>
      </w:r>
      <w:r>
        <w:rPr>
          <w:rFonts w:hint="default" w:ascii="仿宋_GB2312" w:hAnsi="Times New Roman" w:eastAsia="仿宋_GB2312" w:cs="宋体"/>
          <w:kern w:val="0"/>
          <w:sz w:val="32"/>
          <w:szCs w:val="32"/>
          <w:lang w:val="en-US" w:eastAsia="zh-CN" w:bidi="ar"/>
        </w:rPr>
        <w:t>≥100%，通过政府采购和自行采</w:t>
      </w:r>
      <w:r>
        <w:rPr>
          <w:rFonts w:hint="default" w:ascii="仿宋_GB2312" w:hAnsi="Times New Roman" w:eastAsia="仿宋_GB2312" w:cs="仿宋_GB2312"/>
          <w:kern w:val="0"/>
          <w:sz w:val="32"/>
          <w:szCs w:val="32"/>
          <w:lang w:val="en-US" w:eastAsia="zh-CN" w:bidi="ar"/>
        </w:rPr>
        <w:t>购选取优质价廉的装备，成本节约率</w:t>
      </w:r>
      <w:r>
        <w:rPr>
          <w:rFonts w:hint="default" w:ascii="仿宋_GB2312" w:hAnsi="Times New Roman" w:eastAsia="仿宋_GB2312" w:cs="宋体"/>
          <w:kern w:val="0"/>
          <w:sz w:val="32"/>
          <w:szCs w:val="32"/>
          <w:lang w:val="en-US" w:eastAsia="zh-CN" w:bidi="ar"/>
        </w:rPr>
        <w:t>≥40%。通过公开招标选取质优价廉设备、装备，按时完成装备的配备，支出进度≥95%，干警满意度达到95%以上，较好的完成了年初目标。</w:t>
      </w:r>
    </w:p>
    <w:tbl>
      <w:tblPr>
        <w:tblStyle w:val="3"/>
        <w:tblW w:w="9405" w:type="dxa"/>
        <w:jc w:val="center"/>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40"/>
        <w:gridCol w:w="1485"/>
        <w:gridCol w:w="1908"/>
        <w:gridCol w:w="365"/>
        <w:gridCol w:w="2791"/>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5" w:hRule="atLeast"/>
          <w:jc w:val="center"/>
        </w:trPr>
        <w:tc>
          <w:tcPr>
            <w:tcW w:w="940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Calibri"/>
                <w:b/>
                <w:color w:val="000000"/>
                <w:kern w:val="0"/>
                <w:sz w:val="40"/>
                <w:szCs w:val="40"/>
              </w:rPr>
            </w:pPr>
            <w:r>
              <w:rPr>
                <w:rFonts w:hint="eastAsia" w:ascii="Calibri" w:hAnsi="Calibri" w:eastAsia="宋体" w:cs="宋体"/>
                <w:b/>
                <w:color w:val="000000"/>
                <w:kern w:val="0"/>
                <w:sz w:val="40"/>
                <w:szCs w:val="40"/>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jc w:val="center"/>
        </w:trPr>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项目名称</w:t>
            </w:r>
          </w:p>
        </w:tc>
        <w:tc>
          <w:tcPr>
            <w:tcW w:w="6780"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办案业务费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jc w:val="center"/>
        </w:trPr>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本级部门及代码</w:t>
            </w:r>
          </w:p>
        </w:tc>
        <w:tc>
          <w:tcPr>
            <w:tcW w:w="227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政法处</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实施单位</w:t>
            </w:r>
          </w:p>
        </w:tc>
        <w:tc>
          <w:tcPr>
            <w:tcW w:w="17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包头市青山区人民检察院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0" w:hRule="atLeast"/>
          <w:jc w:val="center"/>
        </w:trPr>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项目属性</w:t>
            </w:r>
          </w:p>
        </w:tc>
        <w:tc>
          <w:tcPr>
            <w:tcW w:w="227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延续项目</w:t>
            </w:r>
          </w:p>
        </w:tc>
        <w:tc>
          <w:tcPr>
            <w:tcW w:w="279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项目期</w:t>
            </w:r>
          </w:p>
        </w:tc>
        <w:tc>
          <w:tcPr>
            <w:tcW w:w="17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Calibri" w:hAnsi="Calibri" w:eastAsia="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2625"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项目资金（万元）</w:t>
            </w:r>
          </w:p>
        </w:tc>
        <w:tc>
          <w:tcPr>
            <w:tcW w:w="19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年度资金总额：</w:t>
            </w:r>
          </w:p>
        </w:tc>
        <w:tc>
          <w:tcPr>
            <w:tcW w:w="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Calibri" w:hAnsi="Calibri" w:eastAsia="宋体" w:cs="宋体"/>
                <w:b/>
                <w:color w:val="000000"/>
                <w:kern w:val="0"/>
                <w:sz w:val="22"/>
                <w:szCs w:val="22"/>
              </w:rPr>
            </w:pPr>
            <w:r>
              <w:rPr>
                <w:rFonts w:hint="default" w:ascii="Calibri" w:hAnsi="Calibri" w:eastAsia="宋体" w:cs="Calibri"/>
                <w:b/>
                <w:i w:val="0"/>
                <w:color w:val="000000"/>
                <w:kern w:val="0"/>
                <w:sz w:val="22"/>
                <w:szCs w:val="22"/>
                <w:lang w:val="en-US" w:eastAsia="zh-CN" w:bidi="ar"/>
              </w:rPr>
              <w:t>509</w:t>
            </w:r>
          </w:p>
        </w:tc>
        <w:tc>
          <w:tcPr>
            <w:tcW w:w="279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中期资金总额：</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eastAsia" w:ascii="Calibri" w:hAnsi="Calibri" w:eastAsia="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jc w:val="center"/>
        </w:trPr>
        <w:tc>
          <w:tcPr>
            <w:tcW w:w="262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 xml:space="preserve">其中：财政拨款 </w:t>
            </w:r>
          </w:p>
        </w:tc>
        <w:tc>
          <w:tcPr>
            <w:tcW w:w="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Calibri" w:hAnsi="Calibri" w:eastAsia="宋体" w:cs="宋体"/>
                <w:b/>
                <w:color w:val="000000"/>
                <w:kern w:val="0"/>
                <w:sz w:val="22"/>
                <w:szCs w:val="22"/>
              </w:rPr>
            </w:pPr>
            <w:r>
              <w:rPr>
                <w:rFonts w:hint="default" w:ascii="Calibri" w:hAnsi="Calibri" w:eastAsia="宋体" w:cs="Calibri"/>
                <w:b/>
                <w:i w:val="0"/>
                <w:color w:val="000000"/>
                <w:kern w:val="0"/>
                <w:sz w:val="22"/>
                <w:szCs w:val="22"/>
                <w:lang w:val="en-US" w:eastAsia="zh-CN" w:bidi="ar"/>
              </w:rPr>
              <w:t>509</w:t>
            </w:r>
          </w:p>
        </w:tc>
        <w:tc>
          <w:tcPr>
            <w:tcW w:w="279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其中：财政拨款</w:t>
            </w:r>
          </w:p>
        </w:tc>
        <w:tc>
          <w:tcPr>
            <w:tcW w:w="17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eastAsia" w:ascii="Calibri" w:hAnsi="Calibri" w:eastAsia="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262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 xml:space="preserve">其他资金 </w:t>
            </w:r>
          </w:p>
        </w:tc>
        <w:tc>
          <w:tcPr>
            <w:tcW w:w="36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Calibri" w:hAnsi="Calibri" w:eastAsia="宋体" w:cs="宋体"/>
                <w:b/>
                <w:color w:val="000000"/>
                <w:kern w:val="0"/>
                <w:sz w:val="22"/>
                <w:szCs w:val="22"/>
              </w:rPr>
            </w:pPr>
          </w:p>
        </w:tc>
        <w:tc>
          <w:tcPr>
            <w:tcW w:w="279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其他资金</w:t>
            </w:r>
          </w:p>
        </w:tc>
        <w:tc>
          <w:tcPr>
            <w:tcW w:w="17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Calibri" w:hAnsi="Calibri" w:eastAsia="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11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总体目标</w:t>
            </w:r>
          </w:p>
        </w:tc>
        <w:tc>
          <w:tcPr>
            <w:tcW w:w="375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年度目标</w:t>
            </w:r>
          </w:p>
        </w:tc>
        <w:tc>
          <w:tcPr>
            <w:tcW w:w="450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本年效果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40" w:hRule="atLeast"/>
          <w:jc w:val="center"/>
        </w:trPr>
        <w:tc>
          <w:tcPr>
            <w:tcW w:w="11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75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该项专款全部用于检察工作的差旅费、日常开支、公务用车运行维护费等办案业务支出，以保障审执工作有序开展，确保各项工作平稳运行。</w:t>
            </w:r>
          </w:p>
        </w:tc>
        <w:tc>
          <w:tcPr>
            <w:tcW w:w="450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该项专款百分之百全部用于检察院办案业务相关支出，保障了工作有序开展，确保了检察院各项工作平稳运行。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一级指标</w:t>
            </w:r>
          </w:p>
        </w:tc>
        <w:tc>
          <w:tcPr>
            <w:tcW w:w="14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二级指标</w:t>
            </w:r>
          </w:p>
        </w:tc>
        <w:tc>
          <w:tcPr>
            <w:tcW w:w="227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三级指标</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年度指标值</w:t>
            </w:r>
          </w:p>
        </w:tc>
        <w:tc>
          <w:tcPr>
            <w:tcW w:w="17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11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产出指标</w:t>
            </w:r>
          </w:p>
        </w:tc>
        <w:tc>
          <w:tcPr>
            <w:tcW w:w="1485" w:type="dxa"/>
            <w:vMerge w:val="restart"/>
            <w:tcBorders>
              <w:top w:val="nil"/>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数量指标</w:t>
            </w:r>
          </w:p>
        </w:tc>
        <w:tc>
          <w:tcPr>
            <w:tcW w:w="227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公诉科案件受理数量</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660</w:t>
            </w:r>
            <w:r>
              <w:rPr>
                <w:rFonts w:hint="eastAsia" w:ascii="宋体" w:hAnsi="宋体" w:eastAsia="宋体" w:cs="宋体"/>
                <w:i w:val="0"/>
                <w:color w:val="000000"/>
                <w:kern w:val="0"/>
                <w:sz w:val="22"/>
                <w:szCs w:val="22"/>
                <w:lang w:val="en-US" w:eastAsia="zh-CN" w:bidi="ar"/>
              </w:rPr>
              <w:t>件</w:t>
            </w:r>
          </w:p>
        </w:tc>
        <w:tc>
          <w:tcPr>
            <w:tcW w:w="17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11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5" w:type="dxa"/>
            <w:vMerge w:val="continue"/>
            <w:tcBorders>
              <w:top w:val="nil"/>
              <w:left w:val="nil"/>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7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控告申诉部案件受理数量</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260</w:t>
            </w:r>
            <w:r>
              <w:rPr>
                <w:rFonts w:hint="eastAsia" w:ascii="宋体" w:hAnsi="宋体" w:eastAsia="宋体" w:cs="宋体"/>
                <w:i w:val="0"/>
                <w:color w:val="000000"/>
                <w:kern w:val="0"/>
                <w:sz w:val="22"/>
                <w:szCs w:val="22"/>
                <w:lang w:val="en-US" w:eastAsia="zh-CN" w:bidi="ar"/>
              </w:rPr>
              <w:t>件</w:t>
            </w:r>
          </w:p>
        </w:tc>
        <w:tc>
          <w:tcPr>
            <w:tcW w:w="17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11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5" w:type="dxa"/>
            <w:vMerge w:val="continue"/>
            <w:tcBorders>
              <w:top w:val="nil"/>
              <w:left w:val="nil"/>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7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民事行政检察部案件受理数量</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480</w:t>
            </w:r>
            <w:r>
              <w:rPr>
                <w:rFonts w:hint="eastAsia" w:ascii="宋体" w:hAnsi="宋体" w:eastAsia="宋体" w:cs="宋体"/>
                <w:i w:val="0"/>
                <w:color w:val="000000"/>
                <w:kern w:val="0"/>
                <w:sz w:val="22"/>
                <w:szCs w:val="22"/>
                <w:lang w:val="en-US" w:eastAsia="zh-CN" w:bidi="ar"/>
              </w:rPr>
              <w:t>件</w:t>
            </w:r>
          </w:p>
        </w:tc>
        <w:tc>
          <w:tcPr>
            <w:tcW w:w="17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11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5" w:type="dxa"/>
            <w:vMerge w:val="continue"/>
            <w:tcBorders>
              <w:top w:val="nil"/>
              <w:left w:val="nil"/>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7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派驻看守所检察室案件受理数</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400</w:t>
            </w:r>
            <w:r>
              <w:rPr>
                <w:rFonts w:hint="eastAsia" w:ascii="宋体" w:hAnsi="宋体" w:eastAsia="宋体" w:cs="宋体"/>
                <w:i w:val="0"/>
                <w:color w:val="000000"/>
                <w:kern w:val="0"/>
                <w:sz w:val="22"/>
                <w:szCs w:val="22"/>
                <w:lang w:val="en-US" w:eastAsia="zh-CN" w:bidi="ar"/>
              </w:rPr>
              <w:t>件</w:t>
            </w:r>
          </w:p>
        </w:tc>
        <w:tc>
          <w:tcPr>
            <w:tcW w:w="17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11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5" w:type="dxa"/>
            <w:vMerge w:val="continue"/>
            <w:tcBorders>
              <w:top w:val="nil"/>
              <w:left w:val="nil"/>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7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侦查监督科案件受理数量</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340</w:t>
            </w:r>
            <w:r>
              <w:rPr>
                <w:rFonts w:hint="eastAsia" w:ascii="宋体" w:hAnsi="宋体" w:eastAsia="宋体" w:cs="宋体"/>
                <w:i w:val="0"/>
                <w:color w:val="000000"/>
                <w:kern w:val="0"/>
                <w:sz w:val="22"/>
                <w:szCs w:val="22"/>
                <w:lang w:val="en-US" w:eastAsia="zh-CN" w:bidi="ar"/>
              </w:rPr>
              <w:t>件</w:t>
            </w:r>
          </w:p>
        </w:tc>
        <w:tc>
          <w:tcPr>
            <w:tcW w:w="17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8" w:hRule="atLeast"/>
          <w:jc w:val="center"/>
        </w:trPr>
        <w:tc>
          <w:tcPr>
            <w:tcW w:w="11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质量指标</w:t>
            </w:r>
          </w:p>
        </w:tc>
        <w:tc>
          <w:tcPr>
            <w:tcW w:w="227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结案率</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eastAsia" w:ascii="Calibri" w:hAnsi="Calibri" w:eastAsia="宋体" w:cs="Calibri"/>
                <w:i w:val="0"/>
                <w:color w:val="000000"/>
                <w:kern w:val="0"/>
                <w:sz w:val="22"/>
                <w:szCs w:val="22"/>
                <w:lang w:val="en-US" w:eastAsia="zh-CN" w:bidi="ar"/>
              </w:rPr>
              <w:t>95</w:t>
            </w:r>
            <w:r>
              <w:rPr>
                <w:rFonts w:hint="default" w:ascii="Calibri" w:hAnsi="Calibri" w:eastAsia="宋体" w:cs="Calibri"/>
                <w:i w:val="0"/>
                <w:color w:val="000000"/>
                <w:kern w:val="0"/>
                <w:sz w:val="22"/>
                <w:szCs w:val="22"/>
                <w:lang w:val="en-US" w:eastAsia="zh-CN" w:bidi="ar"/>
              </w:rPr>
              <w:t>%</w:t>
            </w:r>
          </w:p>
        </w:tc>
        <w:tc>
          <w:tcPr>
            <w:tcW w:w="17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11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时效指标</w:t>
            </w:r>
          </w:p>
        </w:tc>
        <w:tc>
          <w:tcPr>
            <w:tcW w:w="227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平均案件时间</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受理后5</w:t>
            </w:r>
            <w:r>
              <w:rPr>
                <w:rFonts w:hint="eastAsia" w:ascii="宋体" w:hAnsi="宋体" w:eastAsia="宋体" w:cs="宋体"/>
                <w:i w:val="0"/>
                <w:color w:val="000000"/>
                <w:kern w:val="0"/>
                <w:sz w:val="22"/>
                <w:szCs w:val="22"/>
                <w:lang w:val="en-US" w:eastAsia="zh-CN" w:bidi="ar"/>
              </w:rPr>
              <w:t>天内审结</w:t>
            </w:r>
          </w:p>
        </w:tc>
        <w:tc>
          <w:tcPr>
            <w:tcW w:w="17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8" w:hRule="atLeast"/>
          <w:jc w:val="center"/>
        </w:trPr>
        <w:tc>
          <w:tcPr>
            <w:tcW w:w="11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成本指标</w:t>
            </w:r>
          </w:p>
        </w:tc>
        <w:tc>
          <w:tcPr>
            <w:tcW w:w="227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办案成本</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3.4</w:t>
            </w:r>
            <w:r>
              <w:rPr>
                <w:rFonts w:hint="eastAsia" w:ascii="宋体" w:hAnsi="宋体" w:eastAsia="宋体" w:cs="宋体"/>
                <w:i w:val="0"/>
                <w:color w:val="000000"/>
                <w:kern w:val="0"/>
                <w:sz w:val="22"/>
                <w:szCs w:val="22"/>
                <w:lang w:val="en-US" w:eastAsia="zh-CN" w:bidi="ar"/>
              </w:rPr>
              <w:t>万</w:t>
            </w:r>
          </w:p>
        </w:tc>
        <w:tc>
          <w:tcPr>
            <w:tcW w:w="17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11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效益指标</w:t>
            </w:r>
          </w:p>
        </w:tc>
        <w:tc>
          <w:tcPr>
            <w:tcW w:w="14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经济效益指标</w:t>
            </w:r>
          </w:p>
        </w:tc>
        <w:tc>
          <w:tcPr>
            <w:tcW w:w="227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预计挽回经济损失</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500</w:t>
            </w:r>
            <w:r>
              <w:rPr>
                <w:rFonts w:hint="eastAsia" w:ascii="宋体" w:hAnsi="宋体" w:eastAsia="宋体" w:cs="宋体"/>
                <w:i w:val="0"/>
                <w:color w:val="000000"/>
                <w:kern w:val="0"/>
                <w:sz w:val="22"/>
                <w:szCs w:val="22"/>
                <w:lang w:val="en-US" w:eastAsia="zh-CN" w:bidi="ar"/>
              </w:rPr>
              <w:t>万</w:t>
            </w:r>
          </w:p>
        </w:tc>
        <w:tc>
          <w:tcPr>
            <w:tcW w:w="17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11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社会效益指标</w:t>
            </w:r>
          </w:p>
        </w:tc>
        <w:tc>
          <w:tcPr>
            <w:tcW w:w="227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受理案件的社会效益</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92%</w:t>
            </w:r>
          </w:p>
        </w:tc>
        <w:tc>
          <w:tcPr>
            <w:tcW w:w="17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11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环境效益指标</w:t>
            </w:r>
          </w:p>
        </w:tc>
        <w:tc>
          <w:tcPr>
            <w:tcW w:w="227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办案过程对环境的影响</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30%</w:t>
            </w:r>
          </w:p>
        </w:tc>
        <w:tc>
          <w:tcPr>
            <w:tcW w:w="17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tbl>
            <w:tblPr>
              <w:tblStyle w:val="3"/>
              <w:tblW w:w="9405" w:type="dxa"/>
              <w:jc w:val="center"/>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94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bl>
          <w:p>
            <w:pPr>
              <w:keepNext w:val="0"/>
              <w:keepLines w:val="0"/>
              <w:widowControl/>
              <w:suppressLineNumbers w:val="0"/>
              <w:spacing w:before="0" w:beforeAutospacing="0" w:after="0" w:afterAutospacing="0"/>
              <w:ind w:left="0" w:right="0"/>
              <w:jc w:val="center"/>
              <w:rPr>
                <w:rFonts w:hint="eastAsia" w:ascii="Calibri" w:hAnsi="Calibri" w:eastAsia="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11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可持续性指标</w:t>
            </w:r>
          </w:p>
        </w:tc>
        <w:tc>
          <w:tcPr>
            <w:tcW w:w="227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项目持续发挥作用时间</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1</w:t>
            </w:r>
            <w:r>
              <w:rPr>
                <w:rFonts w:hint="eastAsia" w:ascii="宋体" w:hAnsi="宋体" w:eastAsia="宋体" w:cs="宋体"/>
                <w:i w:val="0"/>
                <w:color w:val="000000"/>
                <w:kern w:val="0"/>
                <w:sz w:val="22"/>
                <w:szCs w:val="22"/>
                <w:lang w:val="en-US" w:eastAsia="zh-CN" w:bidi="ar"/>
              </w:rPr>
              <w:t>年</w:t>
            </w:r>
          </w:p>
        </w:tc>
        <w:tc>
          <w:tcPr>
            <w:tcW w:w="17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2"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满意度指标</w:t>
            </w:r>
          </w:p>
        </w:tc>
        <w:tc>
          <w:tcPr>
            <w:tcW w:w="14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服务对象满意度指标</w:t>
            </w:r>
          </w:p>
        </w:tc>
        <w:tc>
          <w:tcPr>
            <w:tcW w:w="227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受理案件满意度</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97%</w:t>
            </w:r>
          </w:p>
        </w:tc>
        <w:tc>
          <w:tcPr>
            <w:tcW w:w="17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bl>
    <w:p>
      <w:pPr>
        <w:keepNext w:val="0"/>
        <w:keepLines w:val="0"/>
        <w:widowControl/>
        <w:suppressLineNumbers w:val="0"/>
        <w:adjustRightInd w:val="0"/>
        <w:snapToGrid w:val="0"/>
        <w:spacing w:before="0" w:beforeAutospacing="1" w:after="0" w:afterAutospacing="1"/>
        <w:ind w:left="0" w:right="0"/>
        <w:jc w:val="left"/>
        <w:rPr>
          <w:rFonts w:hint="default" w:ascii="仿宋_GB2312" w:hAnsi="Times New Roman" w:eastAsia="仿宋_GB2312" w:cs="宋体"/>
          <w:kern w:val="0"/>
          <w:sz w:val="32"/>
          <w:szCs w:val="32"/>
        </w:rPr>
      </w:pPr>
    </w:p>
    <w:tbl>
      <w:tblPr>
        <w:tblStyle w:val="3"/>
        <w:tblW w:w="9406" w:type="dxa"/>
        <w:jc w:val="center"/>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53"/>
        <w:gridCol w:w="1444"/>
        <w:gridCol w:w="2106"/>
        <w:gridCol w:w="445"/>
        <w:gridCol w:w="2791"/>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9406"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Calibri"/>
                <w:b/>
                <w:color w:val="000000"/>
                <w:kern w:val="0"/>
                <w:sz w:val="40"/>
                <w:szCs w:val="40"/>
              </w:rPr>
            </w:pPr>
            <w:r>
              <w:rPr>
                <w:rFonts w:hint="eastAsia" w:ascii="Calibri" w:hAnsi="Calibri" w:eastAsia="宋体" w:cs="宋体"/>
                <w:b/>
                <w:color w:val="000000"/>
                <w:kern w:val="0"/>
                <w:sz w:val="40"/>
                <w:szCs w:val="40"/>
                <w:lang w:val="en-US" w:eastAsia="zh-CN" w:bidi="ar"/>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jc w:val="center"/>
        </w:trPr>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项目名称</w:t>
            </w:r>
          </w:p>
        </w:tc>
        <w:tc>
          <w:tcPr>
            <w:tcW w:w="6709"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Calibri"/>
                <w:color w:val="000000"/>
                <w:kern w:val="0"/>
                <w:sz w:val="22"/>
                <w:szCs w:val="22"/>
              </w:rPr>
            </w:pPr>
            <w:r>
              <w:rPr>
                <w:rFonts w:hint="eastAsia" w:ascii="Calibri" w:hAnsi="Calibri" w:eastAsia="宋体" w:cs="Calibri"/>
                <w:color w:val="000000"/>
                <w:kern w:val="0"/>
                <w:sz w:val="22"/>
                <w:szCs w:val="22"/>
                <w:lang w:val="en-US" w:eastAsia="zh-CN" w:bidi="ar"/>
              </w:rPr>
              <w:t>业务装备经费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jc w:val="center"/>
        </w:trPr>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本级部门及代码</w:t>
            </w:r>
          </w:p>
        </w:tc>
        <w:tc>
          <w:tcPr>
            <w:tcW w:w="25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政法处</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实施单位</w:t>
            </w: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包头市青山区人民检察院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0" w:hRule="atLeast"/>
          <w:jc w:val="center"/>
        </w:trPr>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项目属性</w:t>
            </w:r>
          </w:p>
        </w:tc>
        <w:tc>
          <w:tcPr>
            <w:tcW w:w="25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延续项目</w:t>
            </w:r>
          </w:p>
        </w:tc>
        <w:tc>
          <w:tcPr>
            <w:tcW w:w="279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项目期</w:t>
            </w: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Calibri" w:hAnsi="Calibri" w:eastAsia="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jc w:val="center"/>
        </w:trPr>
        <w:tc>
          <w:tcPr>
            <w:tcW w:w="2697"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项目资金（万元）</w:t>
            </w:r>
          </w:p>
        </w:tc>
        <w:tc>
          <w:tcPr>
            <w:tcW w:w="2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年度资金总额：</w:t>
            </w:r>
          </w:p>
        </w:tc>
        <w:tc>
          <w:tcPr>
            <w:tcW w:w="4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Calibri" w:hAnsi="Calibri" w:eastAsia="宋体" w:cs="宋体"/>
                <w:b/>
                <w:color w:val="000000"/>
                <w:kern w:val="0"/>
                <w:sz w:val="22"/>
                <w:szCs w:val="22"/>
              </w:rPr>
            </w:pPr>
            <w:r>
              <w:rPr>
                <w:rFonts w:hint="default" w:ascii="Calibri" w:hAnsi="Calibri" w:eastAsia="宋体" w:cs="Calibri"/>
                <w:b/>
                <w:i w:val="0"/>
                <w:color w:val="000000"/>
                <w:kern w:val="0"/>
                <w:sz w:val="22"/>
                <w:szCs w:val="22"/>
                <w:lang w:val="en-US" w:eastAsia="zh-CN" w:bidi="ar"/>
              </w:rPr>
              <w:t>87</w:t>
            </w:r>
          </w:p>
        </w:tc>
        <w:tc>
          <w:tcPr>
            <w:tcW w:w="279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中期资金总额：</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eastAsia" w:ascii="Calibri" w:hAnsi="Calibri" w:eastAsia="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jc w:val="center"/>
        </w:trPr>
        <w:tc>
          <w:tcPr>
            <w:tcW w:w="2697"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 xml:space="preserve">其中：财政拨款 </w:t>
            </w:r>
          </w:p>
        </w:tc>
        <w:tc>
          <w:tcPr>
            <w:tcW w:w="4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Calibri" w:hAnsi="Calibri" w:eastAsia="宋体" w:cs="宋体"/>
                <w:b/>
                <w:color w:val="000000"/>
                <w:kern w:val="0"/>
                <w:sz w:val="22"/>
                <w:szCs w:val="22"/>
              </w:rPr>
            </w:pPr>
            <w:r>
              <w:rPr>
                <w:rFonts w:hint="default" w:ascii="Calibri" w:hAnsi="Calibri" w:eastAsia="宋体" w:cs="Calibri"/>
                <w:b/>
                <w:i w:val="0"/>
                <w:color w:val="000000"/>
                <w:kern w:val="0"/>
                <w:sz w:val="22"/>
                <w:szCs w:val="22"/>
                <w:lang w:val="en-US" w:eastAsia="zh-CN" w:bidi="ar"/>
              </w:rPr>
              <w:t>87</w:t>
            </w:r>
          </w:p>
        </w:tc>
        <w:tc>
          <w:tcPr>
            <w:tcW w:w="279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其中：财政拨款</w:t>
            </w: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rPr>
                <w:rFonts w:hint="eastAsia" w:ascii="Calibri" w:hAnsi="Calibri" w:eastAsia="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2697"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 xml:space="preserve">其他资金 </w:t>
            </w:r>
          </w:p>
        </w:tc>
        <w:tc>
          <w:tcPr>
            <w:tcW w:w="44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Calibri" w:hAnsi="Calibri" w:eastAsia="宋体" w:cs="宋体"/>
                <w:b/>
                <w:color w:val="000000"/>
                <w:kern w:val="0"/>
                <w:sz w:val="22"/>
                <w:szCs w:val="22"/>
              </w:rPr>
            </w:pPr>
          </w:p>
        </w:tc>
        <w:tc>
          <w:tcPr>
            <w:tcW w:w="279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其他资金</w:t>
            </w: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Calibri" w:hAnsi="Calibri" w:eastAsia="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125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总体目标</w:t>
            </w:r>
          </w:p>
        </w:tc>
        <w:tc>
          <w:tcPr>
            <w:tcW w:w="399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年度目标</w:t>
            </w:r>
          </w:p>
        </w:tc>
        <w:tc>
          <w:tcPr>
            <w:tcW w:w="415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本年效果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05" w:hRule="atLeast"/>
          <w:jc w:val="center"/>
        </w:trPr>
        <w:tc>
          <w:tcPr>
            <w:tcW w:w="125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9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紧紧围绕司法办案为中心，配足基本办案装备，提高装备科技含量，运用科技手段有效提升法律监督能力和执法办案水平</w:t>
            </w:r>
          </w:p>
        </w:tc>
        <w:tc>
          <w:tcPr>
            <w:tcW w:w="415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根据办案需要和内蒙古自治区检察院相关要求，保障办案工作的顺利开展，充分发挥检察技术在办案工作的辅助作用，按时完成装备的配备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一级指标</w:t>
            </w:r>
          </w:p>
        </w:tc>
        <w:tc>
          <w:tcPr>
            <w:tcW w:w="14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二级指标</w:t>
            </w:r>
          </w:p>
        </w:tc>
        <w:tc>
          <w:tcPr>
            <w:tcW w:w="25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三级指标</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Calibri" w:hAnsi="Calibri" w:eastAsia="宋体" w:cs="宋体"/>
                <w:b/>
                <w:color w:val="000000"/>
                <w:kern w:val="0"/>
                <w:sz w:val="22"/>
                <w:szCs w:val="22"/>
              </w:rPr>
            </w:pPr>
            <w:r>
              <w:rPr>
                <w:rFonts w:hint="eastAsia" w:ascii="Calibri" w:hAnsi="Calibri" w:eastAsia="宋体" w:cs="宋体"/>
                <w:b/>
                <w:color w:val="000000"/>
                <w:kern w:val="0"/>
                <w:sz w:val="22"/>
                <w:szCs w:val="22"/>
                <w:lang w:val="en-US" w:eastAsia="zh-CN" w:bidi="ar"/>
              </w:rPr>
              <w:t>年度指标值</w:t>
            </w: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125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产出指标</w:t>
            </w:r>
          </w:p>
        </w:tc>
        <w:tc>
          <w:tcPr>
            <w:tcW w:w="14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数量指标</w:t>
            </w:r>
          </w:p>
        </w:tc>
        <w:tc>
          <w:tcPr>
            <w:tcW w:w="25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装备采购金额</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87</w:t>
            </w:r>
            <w:r>
              <w:rPr>
                <w:rFonts w:hint="eastAsia" w:ascii="宋体" w:hAnsi="宋体" w:eastAsia="宋体" w:cs="宋体"/>
                <w:i w:val="0"/>
                <w:color w:val="000000"/>
                <w:kern w:val="0"/>
                <w:sz w:val="22"/>
                <w:szCs w:val="22"/>
                <w:lang w:val="en-US" w:eastAsia="zh-CN" w:bidi="ar"/>
              </w:rPr>
              <w:t>万元</w:t>
            </w: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125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44" w:type="dxa"/>
            <w:vMerge w:val="restart"/>
            <w:tcBorders>
              <w:top w:val="nil"/>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质量指标</w:t>
            </w:r>
          </w:p>
        </w:tc>
        <w:tc>
          <w:tcPr>
            <w:tcW w:w="25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装备履行政府采购程序比例</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90%</w:t>
            </w: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125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44" w:type="dxa"/>
            <w:vMerge w:val="continue"/>
            <w:tcBorders>
              <w:top w:val="nil"/>
              <w:left w:val="nil"/>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5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装备验收合格率</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Calibri"/>
                <w:color w:val="000000"/>
                <w:kern w:val="0"/>
                <w:sz w:val="22"/>
                <w:szCs w:val="22"/>
              </w:rPr>
            </w:pPr>
            <w:r>
              <w:rPr>
                <w:rFonts w:hint="default" w:ascii="Calibri" w:hAnsi="Calibri" w:eastAsia="宋体" w:cs="Calibri"/>
                <w:i w:val="0"/>
                <w:color w:val="000000"/>
                <w:kern w:val="0"/>
                <w:sz w:val="22"/>
                <w:szCs w:val="22"/>
                <w:lang w:val="en-US" w:eastAsia="zh-CN" w:bidi="ar"/>
              </w:rPr>
              <w:t>100%</w:t>
            </w: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125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时效指标</w:t>
            </w:r>
          </w:p>
        </w:tc>
        <w:tc>
          <w:tcPr>
            <w:tcW w:w="25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装备按期交货和竣工率</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Calibri"/>
                <w:color w:val="000000"/>
                <w:kern w:val="0"/>
                <w:sz w:val="22"/>
                <w:szCs w:val="22"/>
              </w:rPr>
            </w:pPr>
            <w:r>
              <w:rPr>
                <w:rFonts w:hint="default" w:ascii="Calibri" w:hAnsi="Calibri" w:eastAsia="宋体" w:cs="Calibri"/>
                <w:i w:val="0"/>
                <w:color w:val="000000"/>
                <w:kern w:val="0"/>
                <w:sz w:val="22"/>
                <w:szCs w:val="22"/>
                <w:lang w:val="en-US" w:eastAsia="zh-CN" w:bidi="ar"/>
              </w:rPr>
              <w:t>90%</w:t>
            </w: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125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成本指标</w:t>
            </w:r>
          </w:p>
        </w:tc>
        <w:tc>
          <w:tcPr>
            <w:tcW w:w="25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装备采购成本节约率</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eastAsia" w:ascii="Calibri" w:hAnsi="Calibri" w:eastAsia="宋体" w:cs="Calibri"/>
                <w:i w:val="0"/>
                <w:color w:val="000000"/>
                <w:kern w:val="0"/>
                <w:sz w:val="22"/>
                <w:szCs w:val="22"/>
                <w:lang w:val="en-US" w:eastAsia="zh-CN" w:bidi="ar"/>
              </w:rPr>
              <w:t>40</w:t>
            </w:r>
            <w:r>
              <w:rPr>
                <w:rFonts w:hint="default" w:ascii="Calibri" w:hAnsi="Calibri" w:eastAsia="宋体" w:cs="Calibri"/>
                <w:i w:val="0"/>
                <w:color w:val="000000"/>
                <w:kern w:val="0"/>
                <w:sz w:val="22"/>
                <w:szCs w:val="22"/>
                <w:lang w:val="en-US" w:eastAsia="zh-CN" w:bidi="ar"/>
              </w:rPr>
              <w:t>%</w:t>
            </w: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125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效益指标</w:t>
            </w:r>
          </w:p>
        </w:tc>
        <w:tc>
          <w:tcPr>
            <w:tcW w:w="14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经济效益指标</w:t>
            </w:r>
          </w:p>
        </w:tc>
        <w:tc>
          <w:tcPr>
            <w:tcW w:w="25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装备购置费全年支出进度</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95%</w:t>
            </w: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125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社会效益指标</w:t>
            </w:r>
          </w:p>
        </w:tc>
        <w:tc>
          <w:tcPr>
            <w:tcW w:w="25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办理案件的社会效益</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93%</w:t>
            </w: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jc w:val="center"/>
        </w:trPr>
        <w:tc>
          <w:tcPr>
            <w:tcW w:w="125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环境效益指标</w:t>
            </w:r>
          </w:p>
        </w:tc>
        <w:tc>
          <w:tcPr>
            <w:tcW w:w="25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使用设备对环境的影响</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小于等于10%</w:t>
            </w: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Calibri" w:hAnsi="Calibri" w:eastAsia="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jc w:val="center"/>
        </w:trPr>
        <w:tc>
          <w:tcPr>
            <w:tcW w:w="125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可持续性指标</w:t>
            </w:r>
          </w:p>
        </w:tc>
        <w:tc>
          <w:tcPr>
            <w:tcW w:w="25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装备使用年限</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default" w:ascii="Calibri" w:hAnsi="Calibri" w:eastAsia="宋体" w:cs="Calibri"/>
                <w:i w:val="0"/>
                <w:color w:val="000000"/>
                <w:kern w:val="0"/>
                <w:sz w:val="22"/>
                <w:szCs w:val="22"/>
                <w:lang w:val="en-US" w:eastAsia="zh-CN" w:bidi="ar"/>
              </w:rPr>
              <w:t>大于等于10</w:t>
            </w:r>
            <w:r>
              <w:rPr>
                <w:rFonts w:hint="eastAsia" w:ascii="宋体" w:hAnsi="宋体" w:eastAsia="宋体" w:cs="宋体"/>
                <w:i w:val="0"/>
                <w:color w:val="000000"/>
                <w:kern w:val="0"/>
                <w:sz w:val="22"/>
                <w:szCs w:val="22"/>
                <w:lang w:val="en-US" w:eastAsia="zh-CN" w:bidi="ar"/>
              </w:rPr>
              <w:t>年</w:t>
            </w: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80" w:hRule="atLeast"/>
          <w:jc w:val="center"/>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满意度指标</w:t>
            </w:r>
          </w:p>
        </w:tc>
        <w:tc>
          <w:tcPr>
            <w:tcW w:w="14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服务对象满意度指标</w:t>
            </w:r>
          </w:p>
        </w:tc>
        <w:tc>
          <w:tcPr>
            <w:tcW w:w="25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Calibri" w:hAnsi="Calibri" w:eastAsia="宋体" w:cs="宋体"/>
                <w:color w:val="000000"/>
                <w:kern w:val="0"/>
                <w:sz w:val="22"/>
                <w:szCs w:val="22"/>
              </w:rPr>
            </w:pPr>
            <w:r>
              <w:rPr>
                <w:rFonts w:hint="eastAsia" w:ascii="Calibri" w:hAnsi="Calibri" w:eastAsia="宋体" w:cs="宋体"/>
                <w:color w:val="000000"/>
                <w:kern w:val="0"/>
                <w:sz w:val="22"/>
                <w:szCs w:val="22"/>
                <w:lang w:val="en-US" w:eastAsia="zh-CN" w:bidi="ar"/>
              </w:rPr>
              <w:t>干警满意度</w:t>
            </w:r>
          </w:p>
        </w:tc>
        <w:tc>
          <w:tcPr>
            <w:tcW w:w="27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宋体"/>
                <w:color w:val="000000"/>
                <w:kern w:val="0"/>
                <w:sz w:val="22"/>
                <w:szCs w:val="22"/>
              </w:rPr>
            </w:pPr>
            <w:r>
              <w:rPr>
                <w:rFonts w:hint="eastAsia" w:ascii="Calibri" w:hAnsi="Calibri" w:eastAsia="宋体" w:cs="Calibri"/>
                <w:i w:val="0"/>
                <w:color w:val="000000"/>
                <w:kern w:val="0"/>
                <w:sz w:val="22"/>
                <w:szCs w:val="22"/>
                <w:lang w:val="en-US" w:eastAsia="zh-CN" w:bidi="ar"/>
              </w:rPr>
              <w:t>95</w:t>
            </w:r>
            <w:r>
              <w:rPr>
                <w:rFonts w:hint="default" w:ascii="Calibri" w:hAnsi="Calibri" w:eastAsia="宋体" w:cs="Calibri"/>
                <w:i w:val="0"/>
                <w:color w:val="000000"/>
                <w:kern w:val="0"/>
                <w:sz w:val="22"/>
                <w:szCs w:val="22"/>
                <w:lang w:val="en-US" w:eastAsia="zh-CN" w:bidi="ar"/>
              </w:rPr>
              <w:t>%</w:t>
            </w:r>
          </w:p>
        </w:tc>
        <w:tc>
          <w:tcPr>
            <w:tcW w:w="13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bidi="ar"/>
              </w:rPr>
              <w:t>已完成</w:t>
            </w:r>
          </w:p>
        </w:tc>
      </w:tr>
    </w:tbl>
    <w:p>
      <w:pPr>
        <w:keepNext w:val="0"/>
        <w:keepLines w:val="0"/>
        <w:widowControl/>
        <w:suppressLineNumbers w:val="0"/>
        <w:adjustRightInd w:val="0"/>
        <w:snapToGrid w:val="0"/>
        <w:spacing w:before="0" w:beforeAutospacing="1" w:after="0" w:afterAutospacing="1" w:line="580" w:lineRule="exact"/>
        <w:ind w:left="0" w:right="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四、其他重要事项的情况说明</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（一）机关运行经费支出情况</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本部门2019年度机关运行经费支出134.93万元，比2018年减少44.37万元，降低24.70%。主要原因是：</w:t>
      </w:r>
      <w:r>
        <w:rPr>
          <w:rFonts w:hint="default" w:ascii="仿宋_GB2312" w:hAnsi="宋体" w:eastAsia="仿宋_GB2312" w:cs="仿宋_GB2312"/>
          <w:kern w:val="0"/>
          <w:sz w:val="32"/>
          <w:szCs w:val="32"/>
          <w:lang w:val="en-US" w:eastAsia="zh-CN" w:bidi="ar"/>
        </w:rPr>
        <w:t>监察委转隶，人员减少，故相应经费减少</w:t>
      </w:r>
      <w:r>
        <w:rPr>
          <w:rFonts w:hint="default" w:ascii="仿宋_GB2312" w:hAnsi="Times New Roman" w:eastAsia="仿宋_GB2312" w:cs="仿宋_GB2312"/>
          <w:kern w:val="0"/>
          <w:sz w:val="32"/>
          <w:szCs w:val="32"/>
          <w:lang w:val="en-US" w:eastAsia="zh-CN" w:bidi="ar"/>
        </w:rPr>
        <w:t>。</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宋体" w:eastAsia="仿宋_GB2312" w:cs="仿宋_GB2312"/>
          <w:kern w:val="0"/>
          <w:sz w:val="32"/>
          <w:szCs w:val="32"/>
          <w:lang w:val="en-US" w:eastAsia="zh-CN" w:bidi="ar"/>
        </w:rPr>
        <w:t>（二）政府采购支出情况</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仿宋_GB2312" w:hAnsi="Times New Roman" w:eastAsia="仿宋_GB2312" w:cs="仿宋_GB2312"/>
          <w:color w:val="auto"/>
          <w:kern w:val="0"/>
          <w:sz w:val="32"/>
          <w:szCs w:val="32"/>
          <w:lang w:val="en-US" w:eastAsia="zh-CN" w:bidi="ar"/>
        </w:rPr>
      </w:pPr>
      <w:r>
        <w:rPr>
          <w:rFonts w:hint="default" w:ascii="仿宋_GB2312" w:hAnsi="Times New Roman" w:eastAsia="仿宋_GB2312" w:cs="仿宋_GB2312"/>
          <w:color w:val="auto"/>
          <w:sz w:val="32"/>
          <w:szCs w:val="32"/>
        </w:rPr>
        <w:t>本部门</w:t>
      </w:r>
      <w:r>
        <w:rPr>
          <w:rFonts w:hint="default" w:ascii="仿宋_GB2312" w:hAnsi="Times New Roman" w:eastAsia="仿宋_GB2312" w:cs="仿宋_GB2312"/>
          <w:color w:val="auto"/>
          <w:sz w:val="32"/>
          <w:szCs w:val="32"/>
          <w:lang w:val="en-US"/>
        </w:rPr>
        <w:t>2019</w:t>
      </w:r>
      <w:r>
        <w:rPr>
          <w:rFonts w:hint="default" w:ascii="仿宋_GB2312" w:hAnsi="Times New Roman" w:eastAsia="仿宋_GB2312" w:cs="仿宋_GB2312"/>
          <w:color w:val="auto"/>
          <w:sz w:val="32"/>
          <w:szCs w:val="32"/>
        </w:rPr>
        <w:t>年度政府采购支出合计</w:t>
      </w:r>
      <w:r>
        <w:rPr>
          <w:rFonts w:hint="default" w:ascii="仿宋_GB2312" w:hAnsi="Times New Roman" w:eastAsia="仿宋_GB2312" w:cs="仿宋_GB2312"/>
          <w:color w:val="auto"/>
          <w:sz w:val="32"/>
          <w:szCs w:val="32"/>
          <w:lang w:val="en-US"/>
        </w:rPr>
        <w:t>0.00</w:t>
      </w:r>
      <w:r>
        <w:rPr>
          <w:rFonts w:hint="default" w:ascii="仿宋_GB2312" w:hAnsi="Times New Roman" w:eastAsia="仿宋_GB2312" w:cs="仿宋_GB2312"/>
          <w:color w:val="auto"/>
          <w:sz w:val="32"/>
          <w:szCs w:val="32"/>
        </w:rPr>
        <w:t>万元，其中：政府采购货物支出</w:t>
      </w:r>
      <w:r>
        <w:rPr>
          <w:rFonts w:hint="default" w:ascii="仿宋_GB2312" w:hAnsi="Times New Roman" w:eastAsia="仿宋_GB2312" w:cs="仿宋_GB2312"/>
          <w:color w:val="auto"/>
          <w:sz w:val="32"/>
          <w:szCs w:val="32"/>
          <w:lang w:val="en-US"/>
        </w:rPr>
        <w:t>0.00</w:t>
      </w:r>
      <w:r>
        <w:rPr>
          <w:rFonts w:hint="default" w:ascii="仿宋_GB2312" w:hAnsi="Times New Roman" w:eastAsia="仿宋_GB2312" w:cs="仿宋_GB2312"/>
          <w:color w:val="auto"/>
          <w:sz w:val="32"/>
          <w:szCs w:val="32"/>
        </w:rPr>
        <w:t>万元</w:t>
      </w:r>
      <w:r>
        <w:rPr>
          <w:rFonts w:hint="default" w:ascii="Times New Roman" w:hAnsi="Times New Roman" w:eastAsia="仿宋_GB2312" w:cs="Times New Roman"/>
          <w:color w:val="auto"/>
          <w:sz w:val="32"/>
          <w:szCs w:val="32"/>
          <w:lang w:val="en-US"/>
        </w:rPr>
        <w:t>,</w:t>
      </w:r>
      <w:r>
        <w:rPr>
          <w:rFonts w:hint="default" w:ascii="仿宋_GB2312" w:hAnsi="Times New Roman" w:eastAsia="仿宋_GB2312" w:cs="仿宋_GB2312"/>
          <w:color w:val="auto"/>
          <w:sz w:val="32"/>
          <w:szCs w:val="32"/>
        </w:rPr>
        <w:t>比</w:t>
      </w:r>
      <w:r>
        <w:rPr>
          <w:rFonts w:hint="default" w:ascii="仿宋_GB2312" w:hAnsi="Times New Roman" w:eastAsia="仿宋_GB2312" w:cs="仿宋_GB2312"/>
          <w:color w:val="auto"/>
          <w:sz w:val="32"/>
          <w:szCs w:val="32"/>
          <w:lang w:val="en-US"/>
        </w:rPr>
        <w:t>2018</w:t>
      </w:r>
      <w:r>
        <w:rPr>
          <w:rFonts w:hint="default" w:ascii="仿宋_GB2312" w:hAnsi="Times New Roman" w:eastAsia="仿宋_GB2312" w:cs="仿宋_GB2312"/>
          <w:color w:val="auto"/>
          <w:sz w:val="32"/>
          <w:szCs w:val="32"/>
        </w:rPr>
        <w:t>年减少</w:t>
      </w:r>
      <w:r>
        <w:rPr>
          <w:rFonts w:hint="default" w:ascii="仿宋_GB2312" w:hAnsi="Times New Roman" w:eastAsia="仿宋_GB2312" w:cs="仿宋_GB2312"/>
          <w:color w:val="auto"/>
          <w:sz w:val="32"/>
          <w:szCs w:val="32"/>
          <w:lang w:val="en-US"/>
        </w:rPr>
        <w:t>15.61</w:t>
      </w:r>
      <w:r>
        <w:rPr>
          <w:rFonts w:hint="default" w:ascii="仿宋_GB2312" w:hAnsi="Times New Roman" w:eastAsia="仿宋_GB2312" w:cs="仿宋_GB2312"/>
          <w:color w:val="auto"/>
          <w:sz w:val="32"/>
          <w:szCs w:val="32"/>
        </w:rPr>
        <w:t>万元，降低</w:t>
      </w:r>
      <w:r>
        <w:rPr>
          <w:rFonts w:hint="default" w:ascii="仿宋_GB2312" w:hAnsi="Times New Roman" w:eastAsia="仿宋_GB2312" w:cs="仿宋_GB2312"/>
          <w:color w:val="auto"/>
          <w:sz w:val="32"/>
          <w:szCs w:val="32"/>
          <w:lang w:val="en-US"/>
        </w:rPr>
        <w:t>100.00%</w:t>
      </w:r>
      <w:r>
        <w:rPr>
          <w:rFonts w:hint="default" w:ascii="仿宋_GB2312" w:hAnsi="Times New Roman" w:eastAsia="仿宋_GB2312" w:cs="仿宋_GB2312"/>
          <w:color w:val="auto"/>
          <w:sz w:val="32"/>
          <w:szCs w:val="32"/>
        </w:rPr>
        <w:t>，主要原因是</w:t>
      </w:r>
      <w:r>
        <w:rPr>
          <w:rFonts w:hint="eastAsia" w:ascii="仿宋_GB2312" w:hAnsi="Times New Roman" w:eastAsia="仿宋_GB2312" w:cs="仿宋_GB2312"/>
          <w:color w:val="auto"/>
          <w:sz w:val="32"/>
          <w:szCs w:val="32"/>
          <w:lang w:eastAsia="zh-CN"/>
        </w:rPr>
        <w:t>本年采购减少</w:t>
      </w:r>
      <w:r>
        <w:rPr>
          <w:rFonts w:hint="default" w:ascii="仿宋_GB2312" w:hAnsi="Times New Roman" w:eastAsia="仿宋_GB2312" w:cs="仿宋_GB2312"/>
          <w:color w:val="auto"/>
          <w:sz w:val="32"/>
          <w:szCs w:val="32"/>
        </w:rPr>
        <w:t>；政府采购工程支出</w:t>
      </w:r>
      <w:r>
        <w:rPr>
          <w:rFonts w:hint="default" w:ascii="仿宋_GB2312" w:hAnsi="Times New Roman" w:eastAsia="仿宋_GB2312" w:cs="仿宋_GB2312"/>
          <w:color w:val="auto"/>
          <w:sz w:val="32"/>
          <w:szCs w:val="32"/>
          <w:lang w:val="en-US"/>
        </w:rPr>
        <w:t>0.00</w:t>
      </w:r>
      <w:r>
        <w:rPr>
          <w:rFonts w:hint="default" w:ascii="仿宋_GB2312" w:hAnsi="Times New Roman" w:eastAsia="仿宋_GB2312" w:cs="仿宋_GB2312"/>
          <w:color w:val="auto"/>
          <w:sz w:val="32"/>
          <w:szCs w:val="32"/>
        </w:rPr>
        <w:t>万元；政府采购服务支出</w:t>
      </w:r>
      <w:r>
        <w:rPr>
          <w:rFonts w:hint="default" w:ascii="仿宋_GB2312" w:hAnsi="Times New Roman" w:eastAsia="仿宋_GB2312" w:cs="仿宋_GB2312"/>
          <w:color w:val="auto"/>
          <w:sz w:val="32"/>
          <w:szCs w:val="32"/>
          <w:lang w:val="en-US"/>
        </w:rPr>
        <w:t>0.00</w:t>
      </w:r>
      <w:r>
        <w:rPr>
          <w:rFonts w:hint="default" w:ascii="仿宋_GB2312" w:hAnsi="Times New Roman" w:eastAsia="仿宋_GB2312" w:cs="仿宋_GB2312"/>
          <w:color w:val="auto"/>
          <w:sz w:val="32"/>
          <w:szCs w:val="32"/>
        </w:rPr>
        <w:t>万元。授予中小企业合同金额</w:t>
      </w:r>
      <w:r>
        <w:rPr>
          <w:rFonts w:hint="default" w:ascii="仿宋_GB2312" w:hAnsi="Times New Roman" w:eastAsia="仿宋_GB2312" w:cs="仿宋_GB2312"/>
          <w:color w:val="auto"/>
          <w:sz w:val="32"/>
          <w:szCs w:val="32"/>
          <w:lang w:val="en-US"/>
        </w:rPr>
        <w:t>0.00</w:t>
      </w:r>
      <w:r>
        <w:rPr>
          <w:rFonts w:hint="default" w:ascii="仿宋_GB2312" w:hAnsi="Times New Roman" w:eastAsia="仿宋_GB2312" w:cs="仿宋_GB2312"/>
          <w:color w:val="auto"/>
          <w:sz w:val="32"/>
          <w:szCs w:val="32"/>
        </w:rPr>
        <w:t>万元。</w:t>
      </w:r>
      <w:bookmarkStart w:id="0" w:name="_GoBack"/>
      <w:bookmarkEnd w:id="0"/>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color w:val="auto"/>
          <w:kern w:val="0"/>
          <w:sz w:val="32"/>
          <w:szCs w:val="32"/>
        </w:rPr>
      </w:pPr>
      <w:r>
        <w:rPr>
          <w:rFonts w:hint="default" w:ascii="仿宋_GB2312" w:hAnsi="Times New Roman" w:eastAsia="仿宋_GB2312" w:cs="仿宋_GB2312"/>
          <w:color w:val="auto"/>
          <w:kern w:val="0"/>
          <w:sz w:val="32"/>
          <w:szCs w:val="32"/>
          <w:lang w:val="en-US" w:eastAsia="zh-CN" w:bidi="ar"/>
        </w:rPr>
        <w:t>（三）国有资产占用情况</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仿宋_GB2312" w:hAnsi="Times New Roman" w:eastAsia="仿宋_GB2312" w:cs="仿宋_GB2312"/>
          <w:color w:val="auto"/>
          <w:kern w:val="0"/>
          <w:sz w:val="32"/>
          <w:szCs w:val="32"/>
          <w:lang w:val="en-US" w:eastAsia="zh-CN" w:bidi="ar"/>
        </w:rPr>
      </w:pPr>
      <w:r>
        <w:rPr>
          <w:rFonts w:hint="default" w:ascii="仿宋_GB2312" w:hAnsi="Times New Roman" w:eastAsia="仿宋_GB2312" w:cs="仿宋_GB2312"/>
          <w:color w:val="auto"/>
          <w:sz w:val="32"/>
          <w:szCs w:val="32"/>
        </w:rPr>
        <w:t>截至</w:t>
      </w:r>
      <w:r>
        <w:rPr>
          <w:rFonts w:hint="default" w:ascii="仿宋_GB2312" w:hAnsi="Times New Roman" w:eastAsia="仿宋_GB2312" w:cs="仿宋_GB2312"/>
          <w:color w:val="auto"/>
          <w:sz w:val="32"/>
          <w:szCs w:val="32"/>
          <w:lang w:val="en-US"/>
        </w:rPr>
        <w:t>2019</w:t>
      </w:r>
      <w:r>
        <w:rPr>
          <w:rFonts w:hint="default" w:ascii="仿宋_GB2312" w:hAnsi="Times New Roman" w:eastAsia="仿宋_GB2312" w:cs="仿宋_GB2312"/>
          <w:color w:val="auto"/>
          <w:sz w:val="32"/>
          <w:szCs w:val="32"/>
        </w:rPr>
        <w:t>年</w:t>
      </w:r>
      <w:r>
        <w:rPr>
          <w:rFonts w:hint="default" w:ascii="仿宋_GB2312" w:hAnsi="Times New Roman" w:eastAsia="仿宋_GB2312" w:cs="仿宋_GB2312"/>
          <w:color w:val="auto"/>
          <w:sz w:val="32"/>
          <w:szCs w:val="32"/>
          <w:lang w:val="en-US"/>
        </w:rPr>
        <w:t>12</w:t>
      </w:r>
      <w:r>
        <w:rPr>
          <w:rFonts w:hint="default" w:ascii="仿宋_GB2312" w:hAnsi="Times New Roman" w:eastAsia="仿宋_GB2312" w:cs="仿宋_GB2312"/>
          <w:color w:val="auto"/>
          <w:sz w:val="32"/>
          <w:szCs w:val="32"/>
        </w:rPr>
        <w:t>月</w:t>
      </w:r>
      <w:r>
        <w:rPr>
          <w:rFonts w:hint="default" w:ascii="仿宋_GB2312" w:hAnsi="Times New Roman" w:eastAsia="仿宋_GB2312" w:cs="仿宋_GB2312"/>
          <w:color w:val="auto"/>
          <w:sz w:val="32"/>
          <w:szCs w:val="32"/>
          <w:lang w:val="en-US"/>
        </w:rPr>
        <w:t>31</w:t>
      </w:r>
      <w:r>
        <w:rPr>
          <w:rFonts w:hint="default" w:ascii="仿宋_GB2312" w:hAnsi="Times New Roman" w:eastAsia="仿宋_GB2312" w:cs="仿宋_GB2312"/>
          <w:color w:val="auto"/>
          <w:sz w:val="32"/>
          <w:szCs w:val="32"/>
        </w:rPr>
        <w:t>日，本部门共有车辆</w:t>
      </w:r>
      <w:r>
        <w:rPr>
          <w:rFonts w:hint="default" w:ascii="仿宋_GB2312" w:hAnsi="Times New Roman" w:eastAsia="仿宋_GB2312" w:cs="仿宋_GB2312"/>
          <w:color w:val="auto"/>
          <w:sz w:val="32"/>
          <w:szCs w:val="32"/>
          <w:lang w:val="en-US"/>
        </w:rPr>
        <w:t>10</w:t>
      </w:r>
      <w:r>
        <w:rPr>
          <w:rFonts w:hint="default" w:ascii="仿宋_GB2312" w:hAnsi="Times New Roman" w:eastAsia="仿宋_GB2312" w:cs="仿宋_GB2312"/>
          <w:color w:val="auto"/>
          <w:sz w:val="32"/>
          <w:szCs w:val="32"/>
        </w:rPr>
        <w:t>辆，其中，副部（省）级及以上领导用车</w:t>
      </w:r>
      <w:r>
        <w:rPr>
          <w:rFonts w:hint="default" w:ascii="仿宋_GB2312" w:hAnsi="Times New Roman" w:eastAsia="仿宋_GB2312" w:cs="仿宋_GB2312"/>
          <w:color w:val="auto"/>
          <w:sz w:val="32"/>
          <w:szCs w:val="32"/>
          <w:lang w:val="en-US"/>
        </w:rPr>
        <w:t>0</w:t>
      </w:r>
      <w:r>
        <w:rPr>
          <w:rFonts w:hint="default" w:ascii="仿宋_GB2312" w:hAnsi="Times New Roman" w:eastAsia="仿宋_GB2312" w:cs="仿宋_GB2312"/>
          <w:color w:val="auto"/>
          <w:sz w:val="32"/>
          <w:szCs w:val="32"/>
        </w:rPr>
        <w:t>辆</w:t>
      </w:r>
      <w:r>
        <w:rPr>
          <w:rFonts w:hint="default" w:ascii="仿宋_GB2312" w:hAnsi="Times New Roman" w:eastAsia="仿宋_GB2312" w:cs="仿宋_GB2312"/>
          <w:color w:val="auto"/>
          <w:sz w:val="32"/>
          <w:szCs w:val="32"/>
          <w:lang w:val="en-US"/>
        </w:rPr>
        <w:t>;</w:t>
      </w:r>
      <w:r>
        <w:rPr>
          <w:rFonts w:hint="default" w:ascii="仿宋_GB2312" w:hAnsi="Times New Roman" w:eastAsia="仿宋_GB2312" w:cs="仿宋_GB2312"/>
          <w:color w:val="auto"/>
          <w:sz w:val="32"/>
          <w:szCs w:val="32"/>
        </w:rPr>
        <w:t>主要领导干部用车</w:t>
      </w:r>
      <w:r>
        <w:rPr>
          <w:rFonts w:hint="default" w:ascii="仿宋_GB2312" w:hAnsi="Times New Roman" w:eastAsia="仿宋_GB2312" w:cs="仿宋_GB2312"/>
          <w:color w:val="auto"/>
          <w:sz w:val="32"/>
          <w:szCs w:val="32"/>
          <w:lang w:val="en-US"/>
        </w:rPr>
        <w:t>0</w:t>
      </w:r>
      <w:r>
        <w:rPr>
          <w:rFonts w:hint="default" w:ascii="仿宋_GB2312" w:hAnsi="Times New Roman" w:eastAsia="仿宋_GB2312" w:cs="仿宋_GB2312"/>
          <w:color w:val="auto"/>
          <w:sz w:val="32"/>
          <w:szCs w:val="32"/>
        </w:rPr>
        <w:t>辆</w:t>
      </w:r>
      <w:r>
        <w:rPr>
          <w:rFonts w:hint="default" w:ascii="仿宋_GB2312" w:hAnsi="Times New Roman" w:eastAsia="仿宋_GB2312" w:cs="仿宋_GB2312"/>
          <w:color w:val="auto"/>
          <w:sz w:val="32"/>
          <w:szCs w:val="32"/>
          <w:lang w:val="en-US"/>
        </w:rPr>
        <w:t>;</w:t>
      </w:r>
      <w:r>
        <w:rPr>
          <w:rFonts w:hint="default" w:ascii="仿宋_GB2312" w:hAnsi="Times New Roman" w:eastAsia="仿宋_GB2312" w:cs="仿宋_GB2312"/>
          <w:color w:val="auto"/>
          <w:sz w:val="32"/>
          <w:szCs w:val="32"/>
        </w:rPr>
        <w:t>机要通信用车</w:t>
      </w:r>
      <w:r>
        <w:rPr>
          <w:rFonts w:hint="default" w:ascii="仿宋_GB2312" w:hAnsi="Times New Roman" w:eastAsia="仿宋_GB2312" w:cs="仿宋_GB2312"/>
          <w:color w:val="auto"/>
          <w:sz w:val="32"/>
          <w:szCs w:val="32"/>
          <w:lang w:val="en-US"/>
        </w:rPr>
        <w:t>1</w:t>
      </w:r>
      <w:r>
        <w:rPr>
          <w:rFonts w:hint="default" w:ascii="仿宋_GB2312" w:hAnsi="Times New Roman" w:eastAsia="仿宋_GB2312" w:cs="仿宋_GB2312"/>
          <w:color w:val="auto"/>
          <w:sz w:val="32"/>
          <w:szCs w:val="32"/>
        </w:rPr>
        <w:t>辆，主要用于：</w:t>
      </w:r>
      <w:r>
        <w:rPr>
          <w:rFonts w:hint="default" w:ascii="仿宋_GB2312" w:hAnsi="Times New Roman" w:eastAsia="仿宋_GB2312" w:cs="仿宋_GB2312"/>
          <w:color w:val="auto"/>
          <w:kern w:val="0"/>
          <w:sz w:val="32"/>
          <w:szCs w:val="32"/>
          <w:lang w:val="en-US" w:eastAsia="zh-CN" w:bidi="ar"/>
        </w:rPr>
        <w:t>送、取机要文件材料</w:t>
      </w:r>
      <w:r>
        <w:rPr>
          <w:rFonts w:hint="default" w:ascii="仿宋_GB2312" w:hAnsi="Times New Roman" w:eastAsia="仿宋_GB2312" w:cs="仿宋_GB2312"/>
          <w:color w:val="auto"/>
          <w:sz w:val="32"/>
          <w:szCs w:val="32"/>
          <w:lang w:val="en-US"/>
        </w:rPr>
        <w:t>;</w:t>
      </w:r>
      <w:r>
        <w:rPr>
          <w:rFonts w:hint="default" w:ascii="仿宋_GB2312" w:hAnsi="Times New Roman" w:eastAsia="仿宋_GB2312" w:cs="仿宋_GB2312"/>
          <w:color w:val="auto"/>
          <w:sz w:val="32"/>
          <w:szCs w:val="32"/>
        </w:rPr>
        <w:t>应急保障用车</w:t>
      </w:r>
      <w:r>
        <w:rPr>
          <w:rFonts w:hint="default" w:ascii="仿宋_GB2312" w:hAnsi="Times New Roman" w:eastAsia="仿宋_GB2312" w:cs="仿宋_GB2312"/>
          <w:color w:val="auto"/>
          <w:sz w:val="32"/>
          <w:szCs w:val="32"/>
          <w:lang w:val="en-US"/>
        </w:rPr>
        <w:t>0</w:t>
      </w:r>
      <w:r>
        <w:rPr>
          <w:rFonts w:hint="default" w:ascii="仿宋_GB2312" w:hAnsi="Times New Roman" w:eastAsia="仿宋_GB2312" w:cs="仿宋_GB2312"/>
          <w:color w:val="auto"/>
          <w:sz w:val="32"/>
          <w:szCs w:val="32"/>
        </w:rPr>
        <w:t>辆</w:t>
      </w:r>
      <w:r>
        <w:rPr>
          <w:rFonts w:hint="default" w:ascii="仿宋_GB2312" w:hAnsi="Times New Roman" w:eastAsia="仿宋_GB2312" w:cs="仿宋_GB2312"/>
          <w:color w:val="auto"/>
          <w:sz w:val="32"/>
          <w:szCs w:val="32"/>
          <w:lang w:val="en-US"/>
        </w:rPr>
        <w:t>;</w:t>
      </w:r>
      <w:r>
        <w:rPr>
          <w:rFonts w:hint="default" w:ascii="仿宋_GB2312" w:hAnsi="Times New Roman" w:eastAsia="仿宋_GB2312" w:cs="仿宋_GB2312"/>
          <w:color w:val="auto"/>
          <w:sz w:val="32"/>
          <w:szCs w:val="32"/>
        </w:rPr>
        <w:t>执法执勤用车</w:t>
      </w:r>
      <w:r>
        <w:rPr>
          <w:rFonts w:hint="default" w:ascii="仿宋_GB2312" w:hAnsi="Times New Roman" w:eastAsia="仿宋_GB2312" w:cs="仿宋_GB2312"/>
          <w:color w:val="auto"/>
          <w:sz w:val="32"/>
          <w:szCs w:val="32"/>
          <w:lang w:val="en-US"/>
        </w:rPr>
        <w:t>9</w:t>
      </w:r>
      <w:r>
        <w:rPr>
          <w:rFonts w:hint="default" w:ascii="仿宋_GB2312" w:hAnsi="Times New Roman" w:eastAsia="仿宋_GB2312" w:cs="仿宋_GB2312"/>
          <w:color w:val="auto"/>
          <w:sz w:val="32"/>
          <w:szCs w:val="32"/>
        </w:rPr>
        <w:t>辆</w:t>
      </w:r>
      <w:r>
        <w:rPr>
          <w:rFonts w:hint="default" w:ascii="Times New Roman" w:hAnsi="Times New Roman" w:eastAsia="仿宋_GB2312" w:cs="Times New Roman"/>
          <w:color w:val="auto"/>
          <w:sz w:val="32"/>
          <w:szCs w:val="32"/>
          <w:lang w:val="en-US"/>
        </w:rPr>
        <w:t>,</w:t>
      </w:r>
      <w:r>
        <w:rPr>
          <w:rFonts w:hint="default" w:ascii="仿宋_GB2312" w:hAnsi="Times New Roman" w:eastAsia="仿宋_GB2312" w:cs="仿宋_GB2312"/>
          <w:color w:val="auto"/>
          <w:sz w:val="32"/>
          <w:szCs w:val="32"/>
        </w:rPr>
        <w:t>主要用于：</w:t>
      </w:r>
      <w:r>
        <w:rPr>
          <w:rFonts w:hint="default" w:ascii="仿宋_GB2312" w:hAnsi="Times New Roman" w:eastAsia="仿宋_GB2312" w:cs="仿宋_GB2312"/>
          <w:color w:val="auto"/>
          <w:kern w:val="0"/>
          <w:sz w:val="32"/>
          <w:szCs w:val="32"/>
          <w:lang w:val="en-US" w:eastAsia="zh-CN" w:bidi="ar"/>
        </w:rPr>
        <w:t>外出办案</w:t>
      </w:r>
      <w:r>
        <w:rPr>
          <w:rFonts w:hint="default" w:ascii="仿宋_GB2312" w:hAnsi="Times New Roman" w:eastAsia="仿宋_GB2312" w:cs="仿宋_GB2312"/>
          <w:color w:val="auto"/>
          <w:sz w:val="32"/>
          <w:szCs w:val="32"/>
        </w:rPr>
        <w:t>；特种专业技术用车</w:t>
      </w:r>
      <w:r>
        <w:rPr>
          <w:rFonts w:hint="default" w:ascii="仿宋_GB2312" w:hAnsi="Times New Roman" w:eastAsia="仿宋_GB2312" w:cs="仿宋_GB2312"/>
          <w:color w:val="auto"/>
          <w:sz w:val="32"/>
          <w:szCs w:val="32"/>
          <w:lang w:val="en-US"/>
        </w:rPr>
        <w:t>0</w:t>
      </w:r>
      <w:r>
        <w:rPr>
          <w:rFonts w:hint="default" w:ascii="仿宋_GB2312" w:hAnsi="Times New Roman" w:eastAsia="仿宋_GB2312" w:cs="仿宋_GB2312"/>
          <w:color w:val="auto"/>
          <w:sz w:val="32"/>
          <w:szCs w:val="32"/>
        </w:rPr>
        <w:t>辆；离退休干部用车</w:t>
      </w:r>
      <w:r>
        <w:rPr>
          <w:rFonts w:hint="default" w:ascii="仿宋_GB2312" w:hAnsi="Times New Roman" w:eastAsia="仿宋_GB2312" w:cs="仿宋_GB2312"/>
          <w:color w:val="auto"/>
          <w:sz w:val="32"/>
          <w:szCs w:val="32"/>
          <w:lang w:val="en-US"/>
        </w:rPr>
        <w:t>0</w:t>
      </w:r>
      <w:r>
        <w:rPr>
          <w:rFonts w:hint="default" w:ascii="仿宋_GB2312" w:hAnsi="Times New Roman" w:eastAsia="仿宋_GB2312" w:cs="仿宋_GB2312"/>
          <w:color w:val="auto"/>
          <w:sz w:val="32"/>
          <w:szCs w:val="32"/>
        </w:rPr>
        <w:t>辆；其他用车</w:t>
      </w:r>
      <w:r>
        <w:rPr>
          <w:rFonts w:hint="default" w:ascii="仿宋_GB2312" w:hAnsi="Times New Roman" w:eastAsia="仿宋_GB2312" w:cs="仿宋_GB2312"/>
          <w:color w:val="auto"/>
          <w:sz w:val="32"/>
          <w:szCs w:val="32"/>
          <w:lang w:val="en-US"/>
        </w:rPr>
        <w:t>0</w:t>
      </w:r>
      <w:r>
        <w:rPr>
          <w:rFonts w:hint="default" w:ascii="仿宋_GB2312" w:hAnsi="Times New Roman" w:eastAsia="仿宋_GB2312" w:cs="仿宋_GB2312"/>
          <w:color w:val="auto"/>
          <w:sz w:val="32"/>
          <w:szCs w:val="32"/>
        </w:rPr>
        <w:t>辆。单位价值</w:t>
      </w:r>
      <w:r>
        <w:rPr>
          <w:rFonts w:hint="default" w:ascii="仿宋_GB2312" w:hAnsi="Times New Roman" w:eastAsia="仿宋_GB2312" w:cs="仿宋_GB2312"/>
          <w:color w:val="auto"/>
          <w:sz w:val="32"/>
          <w:szCs w:val="32"/>
          <w:lang w:val="en-US"/>
        </w:rPr>
        <w:t>50</w:t>
      </w:r>
      <w:r>
        <w:rPr>
          <w:rFonts w:hint="default" w:ascii="仿宋_GB2312" w:hAnsi="Times New Roman" w:eastAsia="仿宋_GB2312" w:cs="仿宋_GB2312"/>
          <w:color w:val="auto"/>
          <w:sz w:val="32"/>
          <w:szCs w:val="32"/>
        </w:rPr>
        <w:t>万元以上通用设备</w:t>
      </w:r>
      <w:r>
        <w:rPr>
          <w:rFonts w:hint="default" w:ascii="仿宋_GB2312" w:hAnsi="Times New Roman" w:eastAsia="仿宋_GB2312" w:cs="仿宋_GB2312"/>
          <w:color w:val="auto"/>
          <w:sz w:val="32"/>
          <w:szCs w:val="32"/>
          <w:lang w:val="en-US"/>
        </w:rPr>
        <w:t>0</w:t>
      </w:r>
      <w:r>
        <w:rPr>
          <w:rFonts w:hint="default" w:ascii="仿宋_GB2312" w:hAnsi="Times New Roman" w:eastAsia="仿宋_GB2312" w:cs="仿宋_GB2312"/>
          <w:color w:val="auto"/>
          <w:sz w:val="32"/>
          <w:szCs w:val="32"/>
        </w:rPr>
        <w:t>台（套）</w:t>
      </w:r>
      <w:r>
        <w:rPr>
          <w:rFonts w:hint="default" w:ascii="仿宋_GB2312" w:hAnsi="Times New Roman" w:eastAsia="仿宋_GB2312" w:cs="仿宋_GB2312"/>
          <w:color w:val="auto"/>
          <w:sz w:val="32"/>
          <w:szCs w:val="32"/>
          <w:lang w:val="en-US"/>
        </w:rPr>
        <w:t>;</w:t>
      </w:r>
      <w:r>
        <w:rPr>
          <w:rFonts w:hint="default" w:ascii="仿宋_GB2312" w:hAnsi="Times New Roman" w:eastAsia="仿宋_GB2312" w:cs="仿宋_GB2312"/>
          <w:color w:val="auto"/>
          <w:sz w:val="32"/>
          <w:szCs w:val="32"/>
        </w:rPr>
        <w:t>单位价值</w:t>
      </w:r>
      <w:r>
        <w:rPr>
          <w:rFonts w:hint="default" w:ascii="仿宋_GB2312" w:hAnsi="Times New Roman" w:eastAsia="仿宋_GB2312" w:cs="仿宋_GB2312"/>
          <w:color w:val="auto"/>
          <w:sz w:val="32"/>
          <w:szCs w:val="32"/>
          <w:lang w:val="en-US"/>
        </w:rPr>
        <w:t>100</w:t>
      </w:r>
      <w:r>
        <w:rPr>
          <w:rFonts w:hint="default" w:ascii="仿宋_GB2312" w:hAnsi="Times New Roman" w:eastAsia="仿宋_GB2312" w:cs="仿宋_GB2312"/>
          <w:color w:val="auto"/>
          <w:sz w:val="32"/>
          <w:szCs w:val="32"/>
        </w:rPr>
        <w:t>万元以上专用设备</w:t>
      </w:r>
      <w:r>
        <w:rPr>
          <w:rFonts w:hint="default" w:ascii="仿宋_GB2312" w:hAnsi="Times New Roman" w:eastAsia="仿宋_GB2312" w:cs="仿宋_GB2312"/>
          <w:color w:val="auto"/>
          <w:sz w:val="32"/>
          <w:szCs w:val="32"/>
          <w:lang w:val="en-US"/>
        </w:rPr>
        <w:t>0</w:t>
      </w:r>
      <w:r>
        <w:rPr>
          <w:rFonts w:hint="default" w:ascii="仿宋_GB2312" w:hAnsi="Times New Roman" w:eastAsia="仿宋_GB2312" w:cs="仿宋_GB2312"/>
          <w:color w:val="auto"/>
          <w:sz w:val="32"/>
          <w:szCs w:val="32"/>
        </w:rPr>
        <w:t>台（套）。</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b/>
          <w:kern w:val="0"/>
          <w:sz w:val="32"/>
          <w:szCs w:val="32"/>
        </w:rPr>
      </w:pPr>
      <w:r>
        <w:rPr>
          <w:rFonts w:hint="default" w:ascii="仿宋_GB2312" w:hAnsi="Times New Roman" w:eastAsia="仿宋_GB2312" w:cs="仿宋_GB2312"/>
          <w:b/>
          <w:kern w:val="0"/>
          <w:sz w:val="32"/>
          <w:szCs w:val="32"/>
          <w:lang w:val="en-US" w:eastAsia="zh-CN" w:bidi="ar"/>
        </w:rPr>
        <w:t>第三部分 名词解释</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（一）财政拨款收入：指本年度从本级财政部门取得的财政拨款，包括一般公共预算财政拨款和政府性基金预算财政拨款。</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（二）事业收入：指事业单位开展专业业务活动及其辅助活动取得的收入；事业单位收到的财政专户实际核拨的教育收费等资金。</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（三）经营收入：指事业单位在专业业务活动及其辅助活动之外开展非独立核算经营活动取得的收入。</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（五）用事业基金弥补收支差额：指事业单位在当年的“财政拨款收入</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财政拨款结转和结余资金</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事业收入</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事业单位经营收入</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其他收入</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不足以安排当年支出的情况下，使用以前年度累积的事业基金（当年收支相抵后按国家规定提取、用于弥补以后年度收支差额的基金）弥补本年收支缺口的资金。</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（六）年初结转和结余：</w:t>
      </w:r>
      <w:r>
        <w:rPr>
          <w:rFonts w:hint="default" w:ascii="仿宋_GB2312" w:hAnsi="Times New Roman" w:eastAsia="仿宋_GB2312" w:cs="仿宋_GB2312"/>
          <w:kern w:val="0"/>
          <w:sz w:val="32"/>
          <w:szCs w:val="32"/>
          <w:highlight w:val="white"/>
          <w:lang w:val="en-US" w:eastAsia="zh-CN" w:bidi="ar"/>
        </w:rPr>
        <w:t>指以前年度支出预算因客观条件变化未执行完毕、结转到本年度按有关规定继续使用的资金。</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（七）结余分配</w:t>
      </w:r>
      <w:r>
        <w:rPr>
          <w:rFonts w:hint="default" w:ascii="仿宋_GB2312" w:hAnsi="Times New Roman" w:eastAsia="仿宋_GB2312" w:cs="仿宋_GB2312"/>
          <w:kern w:val="0"/>
          <w:sz w:val="32"/>
          <w:szCs w:val="32"/>
          <w:highlight w:val="white"/>
          <w:lang w:val="en-US" w:eastAsia="zh-CN" w:bidi="ar"/>
        </w:rPr>
        <w:t>：指事业单位按照会计制度规定缴纳的所得税以及从非财政拨款结余中提取的职工福利基金、事业基金等。</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（八）年末结转和结余</w:t>
      </w:r>
      <w:r>
        <w:rPr>
          <w:rFonts w:hint="default" w:ascii="仿宋_GB2312" w:hAnsi="Times New Roman" w:eastAsia="仿宋_GB2312" w:cs="仿宋_GB2312"/>
          <w:kern w:val="0"/>
          <w:sz w:val="32"/>
          <w:szCs w:val="32"/>
          <w:highlight w:val="white"/>
          <w:lang w:val="en-US" w:eastAsia="zh-CN" w:bidi="ar"/>
        </w:rPr>
        <w:t>：指单位本年度或以前年度预算安排、因客观条件发生变化未全部执行或未执行，结转到以后年度继续使用的资金，或项目已完成等产生的结余资金。</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（九）基本支出：指为保障机构正常运转、完成日常工作任务而发生的人员经费和公用经费。其中：人员经费指政府收支分类经济科目中的</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工资福利支出</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和</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对个人和家庭的补助</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；公用经费指政府收支分类经济科目中除</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工资福利支出</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和</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对个人和家庭的补助</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外的其他支出。</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（十）项目支出：指在基本支出之外为完成特定任务和事业发展目标所发生的支出。</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（十一）经营支出：指事业单位在专业业务活动及其辅助活动之外开展非独立核算经营活动发生的支出。</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（十二）</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三公</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十三）机关运行经费：指行政单位和参照公务员法管理的事业单位使用一般公共预算财政拨款安排的基本支出中的日常公用经费支出。未包含行政单位或参照公务员法管理事业单位的部门，参考此口径公开本部门的日常公用经费，并与预算公开保持一致。未包含行政单位或者参照公务员法管理事业单位的部门，参照此口径公开本部门的日常公用经费，并与预算公开保持一致。</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（十四）工资福利支出（支出经济分类科目类级）：反映单位开支的在职职工和编制外长期聘用人员的各类劳动报酬，以及为上述人员缴纳的各项社会保险费等。</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（十五）商品和服务支出（支出经济分类科目类级）：反映单位购买商品和服务的支出（不包括用于购置固定资产的支出、战略性和应急储备支出）。</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（十六）对个人和家庭的补助（支出经济分类科目类级）：反映用于对个人和家庭的补助支出。</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b/>
          <w:kern w:val="0"/>
          <w:sz w:val="32"/>
          <w:szCs w:val="32"/>
        </w:rPr>
      </w:pPr>
      <w:r>
        <w:rPr>
          <w:rFonts w:hint="default" w:ascii="仿宋_GB2312" w:hAnsi="Times New Roman" w:eastAsia="仿宋_GB2312" w:cs="仿宋_GB2312"/>
          <w:b/>
          <w:kern w:val="0"/>
          <w:sz w:val="32"/>
          <w:szCs w:val="32"/>
          <w:lang w:val="en-US" w:eastAsia="zh-CN" w:bidi="ar"/>
        </w:rPr>
        <w:t>第四部分 决算公开联系方式及信息反馈渠道</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lang w:val="en-US" w:eastAsia="zh-CN" w:bidi="ar"/>
        </w:rPr>
        <w:t>本单位决算公开信息反馈和联系方式：</w:t>
      </w:r>
    </w:p>
    <w:p>
      <w:pPr>
        <w:keepNext w:val="0"/>
        <w:keepLines w:val="0"/>
        <w:widowControl/>
        <w:suppressLineNumbers w:val="0"/>
        <w:adjustRightInd w:val="0"/>
        <w:snapToGrid w:val="0"/>
        <w:spacing w:before="0" w:beforeAutospacing="1" w:after="0" w:afterAutospacing="1" w:line="580" w:lineRule="exact"/>
        <w:ind w:left="0" w:right="0" w:firstLine="600"/>
        <w:jc w:val="left"/>
        <w:rPr>
          <w:rFonts w:hint="default" w:ascii="Times New Roman" w:hAnsi="Times New Roman" w:eastAsia="仿宋_GB2312" w:cs="Times New Roman"/>
          <w:kern w:val="0"/>
          <w:sz w:val="18"/>
          <w:szCs w:val="18"/>
        </w:rPr>
      </w:pPr>
      <w:r>
        <w:rPr>
          <w:rFonts w:hint="default" w:ascii="仿宋_GB2312" w:hAnsi="Times New Roman" w:eastAsia="仿宋_GB2312" w:cs="仿宋_GB2312"/>
          <w:kern w:val="0"/>
          <w:sz w:val="32"/>
          <w:szCs w:val="32"/>
          <w:lang w:val="en-US" w:eastAsia="zh-CN" w:bidi="ar"/>
        </w:rPr>
        <w:t>联系人：贺欢欢 联系电话：0472</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3631710</w:t>
      </w:r>
    </w:p>
    <w:p>
      <w:pPr>
        <w:keepNext w:val="0"/>
        <w:keepLines w:val="0"/>
        <w:widowControl/>
        <w:suppressLineNumbers w:val="0"/>
        <w:adjustRightInd w:val="0"/>
        <w:snapToGrid w:val="0"/>
        <w:spacing w:before="0" w:beforeAutospacing="1" w:after="0" w:afterAutospacing="1"/>
        <w:ind w:left="0" w:right="0"/>
        <w:jc w:val="left"/>
        <w:rPr>
          <w:rFonts w:hint="default" w:ascii="Times New Roman" w:hAnsi="Times New Roman" w:eastAsia="仿宋_GB2312" w:cs="Times New Roman"/>
          <w:b/>
          <w:kern w:val="0"/>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B11B2"/>
    <w:rsid w:val="07FA2058"/>
    <w:rsid w:val="1FD54A6B"/>
    <w:rsid w:val="4C363F96"/>
    <w:rsid w:val="532B15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character" w:customStyle="1" w:styleId="4">
    <w:name w:val="10"/>
    <w:basedOn w:val="2"/>
    <w:qFormat/>
    <w:uiPriority w:val="0"/>
    <w:rPr>
      <w:rFonts w:hint="default" w:ascii="Times New Roman" w:hAnsi="Times New Roman" w:cs="Times New Roman"/>
    </w:rPr>
  </w:style>
  <w:style w:type="character" w:customStyle="1" w:styleId="5">
    <w:name w:val="15"/>
    <w:basedOn w:val="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2020-08-21T08:08:23Z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